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A49" w:rsidRPr="00C8730B" w:rsidRDefault="006C4A49" w:rsidP="006C4A49">
      <w:bookmarkStart w:id="0" w:name="_GoBack"/>
      <w:bookmarkEnd w:id="0"/>
      <w:r w:rsidRPr="00C8730B">
        <w:rPr>
          <w:b/>
          <w:bCs/>
          <w:u w:val="single"/>
        </w:rPr>
        <w:t>Attendees</w:t>
      </w:r>
    </w:p>
    <w:p w:rsidR="006C4A49" w:rsidRPr="00397822" w:rsidRDefault="006C4A49" w:rsidP="006C4A49">
      <w:pPr>
        <w:numPr>
          <w:ilvl w:val="0"/>
          <w:numId w:val="14"/>
        </w:numPr>
        <w:ind w:left="720" w:hanging="360"/>
        <w:textAlignment w:val="center"/>
      </w:pPr>
      <w:r w:rsidRPr="00397822">
        <w:t>MC&amp;FP</w:t>
      </w:r>
    </w:p>
    <w:p w:rsidR="006C4A49" w:rsidRPr="00397822" w:rsidRDefault="008D6FD2" w:rsidP="006C4A49">
      <w:pPr>
        <w:numPr>
          <w:ilvl w:val="1"/>
          <w:numId w:val="14"/>
        </w:numPr>
        <w:textAlignment w:val="center"/>
      </w:pPr>
      <w:r>
        <w:t xml:space="preserve">Mike Curtis </w:t>
      </w:r>
    </w:p>
    <w:p w:rsidR="006C4A49" w:rsidRPr="00397822" w:rsidRDefault="006C4A49" w:rsidP="006C4A49">
      <w:pPr>
        <w:numPr>
          <w:ilvl w:val="0"/>
          <w:numId w:val="14"/>
        </w:numPr>
        <w:ind w:left="720" w:hanging="360"/>
        <w:textAlignment w:val="center"/>
      </w:pPr>
      <w:r w:rsidRPr="00397822">
        <w:t xml:space="preserve">DFAS – Indianapolis </w:t>
      </w:r>
    </w:p>
    <w:p w:rsidR="006C4A49" w:rsidRDefault="00E649CE" w:rsidP="006C4A49">
      <w:pPr>
        <w:numPr>
          <w:ilvl w:val="1"/>
          <w:numId w:val="14"/>
        </w:numPr>
        <w:textAlignment w:val="center"/>
      </w:pPr>
      <w:r w:rsidRPr="00397822">
        <w:t>Maranda Summers</w:t>
      </w:r>
      <w:r w:rsidR="00397822" w:rsidRPr="00397822">
        <w:t>,</w:t>
      </w:r>
      <w:r w:rsidR="00507C05">
        <w:t xml:space="preserve"> Mark Atkinson, Robert Haines, Jordan Jensen</w:t>
      </w:r>
    </w:p>
    <w:p w:rsidR="00507C05" w:rsidRPr="00397822" w:rsidRDefault="00507C05" w:rsidP="00507C05">
      <w:pPr>
        <w:numPr>
          <w:ilvl w:val="0"/>
          <w:numId w:val="14"/>
        </w:numPr>
        <w:ind w:left="720" w:hanging="360"/>
        <w:textAlignment w:val="center"/>
      </w:pPr>
      <w:r>
        <w:t>DFAS – Texarkana</w:t>
      </w:r>
    </w:p>
    <w:p w:rsidR="00507C05" w:rsidRPr="00397822" w:rsidRDefault="00507C05" w:rsidP="00507C05">
      <w:pPr>
        <w:numPr>
          <w:ilvl w:val="1"/>
          <w:numId w:val="14"/>
        </w:numPr>
        <w:textAlignment w:val="center"/>
      </w:pPr>
      <w:r>
        <w:t>Lena Anderson, Randy Rodgers</w:t>
      </w:r>
    </w:p>
    <w:p w:rsidR="006C4A49" w:rsidRPr="00397822" w:rsidRDefault="006C4A49" w:rsidP="006C4A49">
      <w:pPr>
        <w:numPr>
          <w:ilvl w:val="0"/>
          <w:numId w:val="14"/>
        </w:numPr>
        <w:ind w:left="720" w:hanging="360"/>
        <w:textAlignment w:val="center"/>
      </w:pPr>
      <w:r w:rsidRPr="00397822">
        <w:t>Army IMCOM G9</w:t>
      </w:r>
    </w:p>
    <w:p w:rsidR="006C4A49" w:rsidRPr="00397822" w:rsidRDefault="006C4A49" w:rsidP="00507C05">
      <w:pPr>
        <w:numPr>
          <w:ilvl w:val="1"/>
          <w:numId w:val="14"/>
        </w:numPr>
        <w:textAlignment w:val="center"/>
      </w:pPr>
      <w:r w:rsidRPr="00397822">
        <w:t>Sonia Daugherty</w:t>
      </w:r>
      <w:r w:rsidR="00824367">
        <w:t>, Renee</w:t>
      </w:r>
      <w:r w:rsidR="008812C5">
        <w:t xml:space="preserve"> Keys</w:t>
      </w:r>
    </w:p>
    <w:p w:rsidR="006C4A49" w:rsidRPr="00397822" w:rsidRDefault="006C4A49" w:rsidP="006C4A49">
      <w:pPr>
        <w:numPr>
          <w:ilvl w:val="0"/>
          <w:numId w:val="14"/>
        </w:numPr>
        <w:ind w:left="720" w:hanging="360"/>
        <w:textAlignment w:val="center"/>
      </w:pPr>
      <w:r w:rsidRPr="00397822">
        <w:t>AFSVA</w:t>
      </w:r>
      <w:r w:rsidR="007C2BAC" w:rsidRPr="00397822">
        <w:t xml:space="preserve"> FMAR</w:t>
      </w:r>
    </w:p>
    <w:p w:rsidR="006C4A49" w:rsidRPr="00397822" w:rsidRDefault="00507C05" w:rsidP="006C4A49">
      <w:pPr>
        <w:numPr>
          <w:ilvl w:val="1"/>
          <w:numId w:val="14"/>
        </w:numPr>
        <w:textAlignment w:val="center"/>
      </w:pPr>
      <w:r>
        <w:t>Becky Karnafel</w:t>
      </w:r>
      <w:r w:rsidR="00D67CD8" w:rsidRPr="00397822">
        <w:t xml:space="preserve">, </w:t>
      </w:r>
      <w:r w:rsidR="007C2BAC" w:rsidRPr="00397822">
        <w:t>Tom Marsh</w:t>
      </w:r>
      <w:r w:rsidR="004E6522" w:rsidRPr="00397822">
        <w:t xml:space="preserve">, </w:t>
      </w:r>
      <w:r w:rsidR="003445A0" w:rsidRPr="00397822">
        <w:t>Marcus Whitehead</w:t>
      </w:r>
      <w:r>
        <w:t>, Stephen Holekamp</w:t>
      </w:r>
    </w:p>
    <w:p w:rsidR="006C4A49" w:rsidRPr="00397822" w:rsidRDefault="00C42D83" w:rsidP="006C4A49">
      <w:pPr>
        <w:numPr>
          <w:ilvl w:val="0"/>
          <w:numId w:val="14"/>
        </w:numPr>
        <w:ind w:left="720" w:hanging="360"/>
        <w:textAlignment w:val="center"/>
      </w:pPr>
      <w:r w:rsidRPr="00397822">
        <w:t xml:space="preserve">Marine Corps – </w:t>
      </w:r>
      <w:r w:rsidR="00507C05">
        <w:t>HQMC</w:t>
      </w:r>
      <w:r w:rsidR="006C4A49" w:rsidRPr="00397822">
        <w:t xml:space="preserve"> </w:t>
      </w:r>
    </w:p>
    <w:p w:rsidR="006C4A49" w:rsidRPr="00397822" w:rsidRDefault="00507C05" w:rsidP="006C4A49">
      <w:pPr>
        <w:numPr>
          <w:ilvl w:val="1"/>
          <w:numId w:val="14"/>
        </w:numPr>
        <w:textAlignment w:val="center"/>
      </w:pPr>
      <w:r>
        <w:t xml:space="preserve">Pat Craddock, Christine Brokaw, John Johnston </w:t>
      </w:r>
    </w:p>
    <w:p w:rsidR="006C4A49" w:rsidRPr="00397822" w:rsidRDefault="006C4A49" w:rsidP="006C4A49">
      <w:pPr>
        <w:numPr>
          <w:ilvl w:val="0"/>
          <w:numId w:val="14"/>
        </w:numPr>
        <w:ind w:left="720" w:hanging="360"/>
        <w:textAlignment w:val="center"/>
      </w:pPr>
      <w:r w:rsidRPr="00397822">
        <w:t xml:space="preserve">Navy </w:t>
      </w:r>
      <w:r w:rsidR="00507C05" w:rsidRPr="00397822">
        <w:t>–</w:t>
      </w:r>
      <w:r w:rsidR="00507C05">
        <w:t xml:space="preserve"> </w:t>
      </w:r>
      <w:r w:rsidRPr="00397822">
        <w:t xml:space="preserve">CNIC    </w:t>
      </w:r>
    </w:p>
    <w:p w:rsidR="006C4A49" w:rsidRDefault="006C4A49" w:rsidP="006C4A49">
      <w:pPr>
        <w:numPr>
          <w:ilvl w:val="1"/>
          <w:numId w:val="14"/>
        </w:numPr>
        <w:textAlignment w:val="center"/>
      </w:pPr>
      <w:r w:rsidRPr="00397822">
        <w:t>Na</w:t>
      </w:r>
      <w:r w:rsidR="007C2BAC" w:rsidRPr="00397822">
        <w:t>ncy Stephens</w:t>
      </w:r>
      <w:r w:rsidR="00507C05">
        <w:t xml:space="preserve">, Jeff Potter </w:t>
      </w:r>
    </w:p>
    <w:p w:rsidR="00507C05" w:rsidRPr="00397822" w:rsidRDefault="00507C05" w:rsidP="00507C05">
      <w:pPr>
        <w:numPr>
          <w:ilvl w:val="0"/>
          <w:numId w:val="14"/>
        </w:numPr>
        <w:ind w:left="720" w:hanging="360"/>
        <w:textAlignment w:val="center"/>
      </w:pPr>
      <w:r w:rsidRPr="00397822">
        <w:t>Navy –</w:t>
      </w:r>
      <w:r>
        <w:t xml:space="preserve"> OPNAV</w:t>
      </w:r>
      <w:r w:rsidRPr="00397822">
        <w:t xml:space="preserve">    </w:t>
      </w:r>
    </w:p>
    <w:p w:rsidR="00507C05" w:rsidRPr="00397822" w:rsidRDefault="00507C05" w:rsidP="00507C05">
      <w:pPr>
        <w:numPr>
          <w:ilvl w:val="1"/>
          <w:numId w:val="14"/>
        </w:numPr>
        <w:textAlignment w:val="center"/>
      </w:pPr>
      <w:r>
        <w:t xml:space="preserve">Annie Fowler </w:t>
      </w:r>
    </w:p>
    <w:p w:rsidR="006C4A49" w:rsidRPr="00397822" w:rsidRDefault="006C4A49" w:rsidP="00C42D83">
      <w:pPr>
        <w:pStyle w:val="ListParagraph"/>
        <w:numPr>
          <w:ilvl w:val="0"/>
          <w:numId w:val="14"/>
        </w:numPr>
        <w:ind w:left="720" w:hanging="360"/>
        <w:textAlignment w:val="center"/>
      </w:pPr>
      <w:r w:rsidRPr="00397822">
        <w:t>Air Force Secretariat SAF-MRR</w:t>
      </w:r>
    </w:p>
    <w:p w:rsidR="006C4A49" w:rsidRPr="00397822" w:rsidRDefault="006C4A49" w:rsidP="006C4A49">
      <w:pPr>
        <w:pStyle w:val="ListParagraph"/>
        <w:numPr>
          <w:ilvl w:val="1"/>
          <w:numId w:val="14"/>
        </w:numPr>
        <w:textAlignment w:val="center"/>
      </w:pPr>
      <w:r w:rsidRPr="00397822">
        <w:t xml:space="preserve">Lt. Col. Carina Harrison </w:t>
      </w:r>
    </w:p>
    <w:p w:rsidR="007C2BAC" w:rsidRPr="00397822" w:rsidRDefault="00D67CD8" w:rsidP="00C42D83">
      <w:pPr>
        <w:pStyle w:val="ListParagraph"/>
        <w:numPr>
          <w:ilvl w:val="0"/>
          <w:numId w:val="14"/>
        </w:numPr>
        <w:ind w:left="720" w:hanging="360"/>
        <w:textAlignment w:val="center"/>
      </w:pPr>
      <w:r w:rsidRPr="00397822">
        <w:t>Army Secretariat SAFM-FO</w:t>
      </w:r>
    </w:p>
    <w:p w:rsidR="007C2BAC" w:rsidRPr="00397822" w:rsidRDefault="00D67CD8" w:rsidP="007C2BAC">
      <w:pPr>
        <w:pStyle w:val="ListParagraph"/>
        <w:numPr>
          <w:ilvl w:val="1"/>
          <w:numId w:val="14"/>
        </w:numPr>
        <w:textAlignment w:val="center"/>
      </w:pPr>
      <w:r w:rsidRPr="00397822">
        <w:t>Gerald Holiday</w:t>
      </w:r>
    </w:p>
    <w:p w:rsidR="006C4A49" w:rsidRPr="00C8730B" w:rsidRDefault="006C4A49" w:rsidP="006C4A49">
      <w:pPr>
        <w:numPr>
          <w:ilvl w:val="0"/>
          <w:numId w:val="14"/>
        </w:numPr>
        <w:ind w:left="720" w:hanging="360"/>
        <w:textAlignment w:val="center"/>
      </w:pPr>
      <w:r w:rsidRPr="00C8730B">
        <w:t>Grant Thornton (GT)</w:t>
      </w:r>
    </w:p>
    <w:p w:rsidR="006C4A49" w:rsidRPr="00C8730B" w:rsidRDefault="006C4A49" w:rsidP="006C4A49">
      <w:pPr>
        <w:numPr>
          <w:ilvl w:val="1"/>
          <w:numId w:val="14"/>
        </w:numPr>
        <w:textAlignment w:val="center"/>
      </w:pPr>
      <w:r w:rsidRPr="00C8730B">
        <w:t>Jeremy Blain, Ariane Whittemore, Mar</w:t>
      </w:r>
      <w:r w:rsidR="00822967">
        <w:t xml:space="preserve">y Saldivar, </w:t>
      </w:r>
      <w:r w:rsidRPr="00C8730B">
        <w:t xml:space="preserve">Vishal Ayyagari </w:t>
      </w:r>
    </w:p>
    <w:p w:rsidR="006C4A49" w:rsidRPr="00C8730B" w:rsidRDefault="006C4A49" w:rsidP="007D7EB2">
      <w:pPr>
        <w:rPr>
          <w:b/>
          <w:color w:val="FF0000"/>
          <w:u w:val="single"/>
        </w:rPr>
      </w:pPr>
    </w:p>
    <w:p w:rsidR="007D7EB2" w:rsidRPr="00C8730B" w:rsidRDefault="004177D5" w:rsidP="00A74D9A">
      <w:pPr>
        <w:rPr>
          <w:b/>
          <w:u w:val="single"/>
        </w:rPr>
      </w:pPr>
      <w:r>
        <w:rPr>
          <w:b/>
          <w:u w:val="single"/>
        </w:rPr>
        <w:t>Welcome and</w:t>
      </w:r>
      <w:r w:rsidR="004E6522">
        <w:rPr>
          <w:b/>
          <w:u w:val="single"/>
        </w:rPr>
        <w:t xml:space="preserve"> Int</w:t>
      </w:r>
      <w:r w:rsidR="0051210F">
        <w:rPr>
          <w:b/>
          <w:u w:val="single"/>
        </w:rPr>
        <w:t>roductions – Mr. Mike Curtis</w:t>
      </w:r>
      <w:r w:rsidR="007D7EB2" w:rsidRPr="00C8730B">
        <w:rPr>
          <w:b/>
          <w:u w:val="single"/>
        </w:rPr>
        <w:t>, MWR &amp; Resale Policy</w:t>
      </w:r>
    </w:p>
    <w:p w:rsidR="002068BC" w:rsidRPr="00C8730B" w:rsidRDefault="00BE1B49" w:rsidP="002068BC">
      <w:pPr>
        <w:pStyle w:val="ListParagraph"/>
        <w:numPr>
          <w:ilvl w:val="0"/>
          <w:numId w:val="16"/>
        </w:numPr>
        <w:rPr>
          <w:b/>
          <w:u w:val="single"/>
        </w:rPr>
      </w:pPr>
      <w:r>
        <w:t xml:space="preserve">Mr. </w:t>
      </w:r>
      <w:r w:rsidR="003F00C8">
        <w:t>Curtis</w:t>
      </w:r>
      <w:r w:rsidR="00A74D9A" w:rsidRPr="00C8730B">
        <w:t xml:space="preserve"> welcomed everyone, acknowledged that all the </w:t>
      </w:r>
      <w:r w:rsidR="00752F8B" w:rsidRPr="00C8730B">
        <w:t>S</w:t>
      </w:r>
      <w:r w:rsidR="00A74D9A" w:rsidRPr="00C8730B">
        <w:t xml:space="preserve">ervices were present and thanked everyone for participating. </w:t>
      </w:r>
    </w:p>
    <w:p w:rsidR="007D7EB2" w:rsidRPr="00C8730B" w:rsidRDefault="007D7EB2" w:rsidP="007D7EB2">
      <w:pPr>
        <w:rPr>
          <w:b/>
          <w:bCs/>
        </w:rPr>
      </w:pPr>
    </w:p>
    <w:p w:rsidR="00B44F95" w:rsidRPr="00942B0E" w:rsidRDefault="007D7EB2" w:rsidP="00942B0E">
      <w:pPr>
        <w:rPr>
          <w:b/>
          <w:u w:val="single"/>
        </w:rPr>
      </w:pPr>
      <w:r w:rsidRPr="00C8730B">
        <w:rPr>
          <w:b/>
          <w:u w:val="single"/>
        </w:rPr>
        <w:t xml:space="preserve">OSD Update – </w:t>
      </w:r>
      <w:r w:rsidR="0051210F">
        <w:rPr>
          <w:b/>
          <w:u w:val="single"/>
        </w:rPr>
        <w:t>Mr. Mike Curtis</w:t>
      </w:r>
      <w:r w:rsidRPr="00C8730B">
        <w:rPr>
          <w:b/>
          <w:u w:val="single"/>
        </w:rPr>
        <w:t>, MWR &amp; Resale Policy</w:t>
      </w:r>
    </w:p>
    <w:p w:rsidR="0051210F" w:rsidRDefault="0051210F" w:rsidP="009F2597">
      <w:pPr>
        <w:pStyle w:val="ListParagraph"/>
        <w:numPr>
          <w:ilvl w:val="0"/>
          <w:numId w:val="16"/>
        </w:numPr>
      </w:pPr>
      <w:r>
        <w:t>M</w:t>
      </w:r>
      <w:r w:rsidR="00942B0E">
        <w:t>r. Curtis proposed conducting a NAFSGL W</w:t>
      </w:r>
      <w:r>
        <w:t xml:space="preserve">orkshop </w:t>
      </w:r>
      <w:r w:rsidR="00942B0E">
        <w:t xml:space="preserve">the week of March 18, 2019.  </w:t>
      </w:r>
      <w:r w:rsidR="00747C29">
        <w:t>Mr. Curtis recommended that the workshop be held in San</w:t>
      </w:r>
      <w:r w:rsidR="00942B0E">
        <w:t xml:space="preserve"> Antonio but was open to alternatives</w:t>
      </w:r>
      <w:r w:rsidR="00747C29">
        <w:t xml:space="preserve">. </w:t>
      </w:r>
      <w:r>
        <w:t xml:space="preserve"> </w:t>
      </w:r>
    </w:p>
    <w:p w:rsidR="00747C29" w:rsidRDefault="00BE1B49" w:rsidP="00747C29">
      <w:pPr>
        <w:pStyle w:val="ListParagraph"/>
        <w:numPr>
          <w:ilvl w:val="1"/>
          <w:numId w:val="16"/>
        </w:numPr>
      </w:pPr>
      <w:r>
        <w:t xml:space="preserve">Ms. </w:t>
      </w:r>
      <w:r w:rsidR="00747C29">
        <w:t>Stephens</w:t>
      </w:r>
      <w:r>
        <w:t xml:space="preserve"> </w:t>
      </w:r>
      <w:r w:rsidR="00942B0E">
        <w:t>offered</w:t>
      </w:r>
      <w:r w:rsidR="00747C29">
        <w:t xml:space="preserve"> to host the workshop at the Navy’s facility in Millington</w:t>
      </w:r>
      <w:r w:rsidR="007D480B">
        <w:t>, Tennessee, stating that it is</w:t>
      </w:r>
      <w:r w:rsidR="00747C29">
        <w:t xml:space="preserve"> valuable to r</w:t>
      </w:r>
      <w:r w:rsidR="007D480B">
        <w:t>otate the location around to</w:t>
      </w:r>
      <w:r w:rsidR="009B2EA6">
        <w:t xml:space="preserve"> the different S</w:t>
      </w:r>
      <w:r w:rsidR="00747C29">
        <w:t xml:space="preserve">ervices each year. </w:t>
      </w:r>
    </w:p>
    <w:p w:rsidR="00747C29" w:rsidRDefault="00942B0E" w:rsidP="00A800FF">
      <w:pPr>
        <w:pStyle w:val="ListParagraph"/>
        <w:numPr>
          <w:ilvl w:val="1"/>
          <w:numId w:val="16"/>
        </w:numPr>
      </w:pPr>
      <w:r>
        <w:t xml:space="preserve">Mr. Curtis requested the </w:t>
      </w:r>
      <w:r w:rsidR="00BE1B49">
        <w:t>S</w:t>
      </w:r>
      <w:r>
        <w:t xml:space="preserve">ervices provide </w:t>
      </w:r>
      <w:r w:rsidR="00747C29">
        <w:t xml:space="preserve">topics </w:t>
      </w:r>
      <w:r>
        <w:t xml:space="preserve">for the NAFSGL Workshop for </w:t>
      </w:r>
      <w:r w:rsidR="00A800FF">
        <w:t>discuss</w:t>
      </w:r>
      <w:r>
        <w:t>ion</w:t>
      </w:r>
      <w:r w:rsidR="00A800FF">
        <w:t xml:space="preserve"> in</w:t>
      </w:r>
      <w:r w:rsidR="00747C29">
        <w:t xml:space="preserve"> the January and February </w:t>
      </w:r>
      <w:r>
        <w:t>NAF Accounting Working G</w:t>
      </w:r>
      <w:r w:rsidR="00747C29">
        <w:t>roup meetings</w:t>
      </w:r>
      <w:r w:rsidR="00146448">
        <w:t xml:space="preserve">.  Mr. Curtis also requested </w:t>
      </w:r>
      <w:r w:rsidR="009B2EA6">
        <w:t>the S</w:t>
      </w:r>
      <w:r w:rsidR="00A800FF">
        <w:t xml:space="preserve">ervices </w:t>
      </w:r>
      <w:r w:rsidR="00146448">
        <w:t xml:space="preserve">try to limit </w:t>
      </w:r>
      <w:r w:rsidR="00A800FF">
        <w:t>attendees to no more than 2 personnel</w:t>
      </w:r>
      <w:r w:rsidR="00BE1B49">
        <w:t xml:space="preserve"> per S</w:t>
      </w:r>
      <w:r w:rsidR="00146448">
        <w:t>ervice</w:t>
      </w:r>
      <w:r w:rsidR="00A800FF">
        <w:t xml:space="preserve">.   </w:t>
      </w:r>
      <w:r w:rsidR="00747C29">
        <w:t xml:space="preserve"> </w:t>
      </w:r>
    </w:p>
    <w:p w:rsidR="00BE1B49" w:rsidRDefault="0050174F" w:rsidP="00BE1B49">
      <w:pPr>
        <w:numPr>
          <w:ilvl w:val="0"/>
          <w:numId w:val="1"/>
        </w:numPr>
      </w:pPr>
      <w:r>
        <w:t>Ms. Nancy Stephens</w:t>
      </w:r>
      <w:r w:rsidR="00BE1B49">
        <w:t xml:space="preserve"> </w:t>
      </w:r>
      <w:r>
        <w:t>then asked for clarification re</w:t>
      </w:r>
      <w:r w:rsidR="00146448">
        <w:t>garding one of the March Workshop topics</w:t>
      </w:r>
      <w:r>
        <w:t xml:space="preserve">. </w:t>
      </w:r>
      <w:r w:rsidR="00BE1B49">
        <w:t xml:space="preserve"> </w:t>
      </w:r>
      <w:r w:rsidR="00146448">
        <w:t>Mr. Blain provided an explanation of the topic of</w:t>
      </w:r>
      <w:r w:rsidR="00721265">
        <w:t xml:space="preserve"> General vs Detailed GLAC </w:t>
      </w:r>
      <w:r w:rsidR="00721265">
        <w:lastRenderedPageBreak/>
        <w:t>structure of the NAFS</w:t>
      </w:r>
      <w:r w:rsidR="00146448">
        <w:t>G</w:t>
      </w:r>
      <w:r w:rsidR="00721265">
        <w:t>L. Mr. Blain exp</w:t>
      </w:r>
      <w:r w:rsidR="00146448">
        <w:t xml:space="preserve">lained that the topic was </w:t>
      </w:r>
      <w:r w:rsidR="00BE1B49">
        <w:t>discussed and then tabled</w:t>
      </w:r>
      <w:r w:rsidR="00721265">
        <w:t xml:space="preserve"> during the </w:t>
      </w:r>
      <w:r w:rsidR="00146448">
        <w:t>2018 NAFSGL</w:t>
      </w:r>
      <w:r w:rsidR="00BE1B49">
        <w:t xml:space="preserve"> workshop</w:t>
      </w:r>
      <w:r w:rsidR="00146448">
        <w:t xml:space="preserve">.  </w:t>
      </w:r>
    </w:p>
    <w:p w:rsidR="0050174F" w:rsidRDefault="00721265" w:rsidP="00BE1B49">
      <w:pPr>
        <w:numPr>
          <w:ilvl w:val="0"/>
          <w:numId w:val="1"/>
        </w:numPr>
      </w:pPr>
      <w:r>
        <w:t xml:space="preserve">Mr. Blain then went on to give a brief overview of the other topics </w:t>
      </w:r>
      <w:r w:rsidR="00146448">
        <w:t xml:space="preserve">proposed </w:t>
      </w:r>
      <w:r>
        <w:t>for the</w:t>
      </w:r>
      <w:r w:rsidR="00146448">
        <w:t xml:space="preserve"> March 2019 Workshop. </w:t>
      </w:r>
    </w:p>
    <w:p w:rsidR="00164A24" w:rsidRPr="00C8730B" w:rsidRDefault="00164A24" w:rsidP="0098536A"/>
    <w:p w:rsidR="00206B4E" w:rsidRPr="00C8730B" w:rsidRDefault="00002FE0" w:rsidP="004F0206">
      <w:pPr>
        <w:rPr>
          <w:b/>
          <w:u w:val="single"/>
        </w:rPr>
      </w:pPr>
      <w:r w:rsidRPr="00C8730B">
        <w:rPr>
          <w:b/>
          <w:u w:val="single"/>
        </w:rPr>
        <w:t xml:space="preserve">Position Paper </w:t>
      </w:r>
      <w:r w:rsidR="00196206" w:rsidRPr="00C8730B">
        <w:rPr>
          <w:b/>
          <w:u w:val="single"/>
        </w:rPr>
        <w:t xml:space="preserve">(PP) </w:t>
      </w:r>
      <w:r w:rsidRPr="00C8730B">
        <w:rPr>
          <w:b/>
          <w:u w:val="single"/>
        </w:rPr>
        <w:t>discussion</w:t>
      </w:r>
      <w:r w:rsidR="007D7EB2" w:rsidRPr="00C8730B">
        <w:rPr>
          <w:b/>
          <w:u w:val="single"/>
        </w:rPr>
        <w:t xml:space="preserve"> </w:t>
      </w:r>
      <w:r w:rsidRPr="00C8730B">
        <w:rPr>
          <w:b/>
          <w:u w:val="single"/>
        </w:rPr>
        <w:t>–</w:t>
      </w:r>
      <w:r w:rsidR="007D7EB2" w:rsidRPr="00C8730B">
        <w:rPr>
          <w:b/>
          <w:u w:val="single"/>
        </w:rPr>
        <w:t xml:space="preserve"> Mr. Jeremy Blain, Grant Thornton</w:t>
      </w:r>
      <w:r w:rsidR="004F0206" w:rsidRPr="00C8730B">
        <w:rPr>
          <w:b/>
          <w:u w:val="single"/>
        </w:rPr>
        <w:t xml:space="preserve"> </w:t>
      </w:r>
    </w:p>
    <w:p w:rsidR="001842B1" w:rsidRPr="00C8730B" w:rsidRDefault="004F0206" w:rsidP="001842B1">
      <w:pPr>
        <w:numPr>
          <w:ilvl w:val="0"/>
          <w:numId w:val="1"/>
        </w:numPr>
      </w:pPr>
      <w:r w:rsidRPr="00C8730B">
        <w:t xml:space="preserve">Mr. Blain began with </w:t>
      </w:r>
      <w:r w:rsidR="00206B4E">
        <w:t xml:space="preserve">the Stale Checks </w:t>
      </w:r>
      <w:r w:rsidR="00D9618F">
        <w:t xml:space="preserve">position </w:t>
      </w:r>
      <w:r w:rsidR="00206B4E">
        <w:t>paper</w:t>
      </w:r>
      <w:r w:rsidR="00A800FF">
        <w:t xml:space="preserve"> (PP</w:t>
      </w:r>
      <w:r w:rsidR="00E860D9">
        <w:t xml:space="preserve"> </w:t>
      </w:r>
      <w:r w:rsidR="00A800FF">
        <w:t>#33</w:t>
      </w:r>
      <w:r w:rsidR="00243878">
        <w:t>)</w:t>
      </w:r>
      <w:r w:rsidR="001842B1" w:rsidRPr="00C8730B">
        <w:t>.</w:t>
      </w:r>
      <w:r w:rsidR="002D2A37">
        <w:t xml:space="preserve"> </w:t>
      </w:r>
      <w:r w:rsidR="001842B1" w:rsidRPr="00C8730B">
        <w:t xml:space="preserve"> </w:t>
      </w:r>
    </w:p>
    <w:p w:rsidR="00EA5EB8" w:rsidRDefault="00EA5EB8" w:rsidP="00BE1B49">
      <w:pPr>
        <w:pStyle w:val="ListParagraph"/>
        <w:numPr>
          <w:ilvl w:val="1"/>
          <w:numId w:val="1"/>
        </w:numPr>
        <w:spacing w:after="160" w:line="259" w:lineRule="auto"/>
      </w:pPr>
      <w:r>
        <w:t>This paper recommends accounting treatment for stale payroll and vendor checks as follows:</w:t>
      </w:r>
      <w:r w:rsidR="00BE1B49">
        <w:t xml:space="preserve">  </w:t>
      </w:r>
      <w:r w:rsidR="009B2EA6">
        <w:t>The S</w:t>
      </w:r>
      <w:r>
        <w:t xml:space="preserve">ervices deposit the funds that are to be collected in a deposit fund account for up to a year and subsequently transfer the funds into Payment of Unclaimed Moneys account or Forfeitures of Unclaimed Money and Property. </w:t>
      </w:r>
    </w:p>
    <w:p w:rsidR="00984BD7" w:rsidRDefault="00EA5EB8" w:rsidP="00DB658B">
      <w:pPr>
        <w:pStyle w:val="ListParagraph"/>
        <w:numPr>
          <w:ilvl w:val="1"/>
          <w:numId w:val="1"/>
        </w:numPr>
        <w:spacing w:after="160" w:line="259" w:lineRule="auto"/>
      </w:pPr>
      <w:r>
        <w:t>Mr. Whitehead</w:t>
      </w:r>
      <w:r w:rsidR="00BE1B49">
        <w:t xml:space="preserve"> stated t</w:t>
      </w:r>
      <w:r w:rsidR="00D97B0E">
        <w:t xml:space="preserve">he Air Force sent over </w:t>
      </w:r>
      <w:r>
        <w:t xml:space="preserve">documentation to OSD regarding the process for </w:t>
      </w:r>
      <w:r w:rsidR="00DB658B">
        <w:t xml:space="preserve">outstanding </w:t>
      </w:r>
      <w:r>
        <w:t>workers</w:t>
      </w:r>
      <w:r w:rsidR="00DB658B">
        <w:t>’</w:t>
      </w:r>
      <w:r>
        <w:t xml:space="preserve"> compensation</w:t>
      </w:r>
      <w:r w:rsidR="00DB658B">
        <w:t xml:space="preserve"> checks</w:t>
      </w:r>
      <w:r w:rsidR="009E08EA">
        <w:t xml:space="preserve">. The current process is to remove outstanding workers’ compensation checks from the liability account after </w:t>
      </w:r>
      <w:r>
        <w:t xml:space="preserve">180 days. Mr. Blain noted that the </w:t>
      </w:r>
      <w:r w:rsidR="009E08EA">
        <w:t xml:space="preserve">position paper states that outstanding checks are to be removed from the liability account after one (1) year or 365 days. </w:t>
      </w:r>
      <w:r w:rsidR="00C210EF">
        <w:t>Mr. Blain</w:t>
      </w:r>
      <w:r w:rsidR="009E08EA">
        <w:t xml:space="preserve"> suggested updating the paper to state that the </w:t>
      </w:r>
      <w:r w:rsidR="009B2EA6">
        <w:t>S</w:t>
      </w:r>
      <w:r>
        <w:t xml:space="preserve">ervices </w:t>
      </w:r>
      <w:r w:rsidR="009E08EA">
        <w:t>can implement a more stringent policy.</w:t>
      </w:r>
      <w:r>
        <w:t xml:space="preserve"> </w:t>
      </w:r>
    </w:p>
    <w:p w:rsidR="00243878" w:rsidRDefault="000676A5" w:rsidP="00984BD7">
      <w:pPr>
        <w:pStyle w:val="ListParagraph"/>
        <w:numPr>
          <w:ilvl w:val="1"/>
          <w:numId w:val="1"/>
        </w:numPr>
        <w:spacing w:after="160" w:line="259" w:lineRule="auto"/>
      </w:pPr>
      <w:r>
        <w:t>Al</w:t>
      </w:r>
      <w:r w:rsidR="009B2EA6">
        <w:t>l S</w:t>
      </w:r>
      <w:r w:rsidR="00965E25">
        <w:t xml:space="preserve">ervices concurred with the paper contingent upon the </w:t>
      </w:r>
      <w:r w:rsidR="00653AFA">
        <w:t>suggested update</w:t>
      </w:r>
      <w:r w:rsidR="00965E25">
        <w:t xml:space="preserve"> being made</w:t>
      </w:r>
      <w:r>
        <w:t xml:space="preserve">.  </w:t>
      </w:r>
    </w:p>
    <w:p w:rsidR="00EC6309" w:rsidRDefault="00243E1B" w:rsidP="00EC6309">
      <w:pPr>
        <w:pStyle w:val="ListParagraph"/>
        <w:numPr>
          <w:ilvl w:val="0"/>
          <w:numId w:val="1"/>
        </w:numPr>
        <w:spacing w:after="160" w:line="259" w:lineRule="auto"/>
      </w:pPr>
      <w:r>
        <w:t>Mr. Blain</w:t>
      </w:r>
      <w:r w:rsidR="00EA5EB8">
        <w:t xml:space="preserve"> then</w:t>
      </w:r>
      <w:r>
        <w:t xml:space="preserve"> </w:t>
      </w:r>
      <w:r w:rsidR="00EC6309" w:rsidRPr="00C8730B">
        <w:t xml:space="preserve">proceeded to </w:t>
      </w:r>
      <w:r w:rsidR="00B902CA">
        <w:t xml:space="preserve">the next </w:t>
      </w:r>
      <w:r w:rsidR="00D9618F">
        <w:t xml:space="preserve">position </w:t>
      </w:r>
      <w:r w:rsidR="00B902CA">
        <w:t>paper</w:t>
      </w:r>
      <w:r w:rsidR="00EC6309" w:rsidRPr="00C8730B">
        <w:t xml:space="preserve">: </w:t>
      </w:r>
      <w:r w:rsidR="00EA5EB8">
        <w:t>Donations In-Kind (PP #26</w:t>
      </w:r>
      <w:r w:rsidR="00EC6309">
        <w:t xml:space="preserve">). </w:t>
      </w:r>
    </w:p>
    <w:p w:rsidR="00EA5EB8" w:rsidRDefault="00EA5EB8" w:rsidP="00EA5EB8">
      <w:pPr>
        <w:pStyle w:val="ListParagraph"/>
        <w:numPr>
          <w:ilvl w:val="1"/>
          <w:numId w:val="1"/>
        </w:numPr>
        <w:rPr>
          <w:bCs/>
        </w:rPr>
      </w:pPr>
      <w:r>
        <w:t xml:space="preserve">The paper </w:t>
      </w:r>
      <w:r w:rsidRPr="00F54839">
        <w:rPr>
          <w:bCs/>
        </w:rPr>
        <w:t>recommend</w:t>
      </w:r>
      <w:r>
        <w:rPr>
          <w:bCs/>
        </w:rPr>
        <w:t>s</w:t>
      </w:r>
      <w:r w:rsidRPr="00F54839">
        <w:rPr>
          <w:bCs/>
        </w:rPr>
        <w:t xml:space="preserve"> the FMR be updated to sta</w:t>
      </w:r>
      <w:r w:rsidR="009B2EA6">
        <w:rPr>
          <w:bCs/>
        </w:rPr>
        <w:t xml:space="preserve">te that donations of assets </w:t>
      </w:r>
      <w:r w:rsidRPr="00F54839">
        <w:rPr>
          <w:bCs/>
        </w:rPr>
        <w:t xml:space="preserve">material to the financial statements are </w:t>
      </w:r>
      <w:r w:rsidR="00D97B0E">
        <w:rPr>
          <w:bCs/>
        </w:rPr>
        <w:t xml:space="preserve">to be </w:t>
      </w:r>
      <w:r w:rsidRPr="00F54839">
        <w:rPr>
          <w:bCs/>
        </w:rPr>
        <w:t>reported on the financial statements. The materiality threshold should be defined as one percent (1%) of the assets in the consolidated balance sheet at the Service level.</w:t>
      </w:r>
    </w:p>
    <w:p w:rsidR="00EA5EB8" w:rsidRPr="00EA5EB8" w:rsidRDefault="00EA5EB8" w:rsidP="00EA5EB8">
      <w:pPr>
        <w:pStyle w:val="ListParagraph"/>
        <w:numPr>
          <w:ilvl w:val="1"/>
          <w:numId w:val="1"/>
        </w:numPr>
        <w:rPr>
          <w:bCs/>
        </w:rPr>
      </w:pPr>
      <w:r>
        <w:rPr>
          <w:bCs/>
        </w:rPr>
        <w:t xml:space="preserve">Mr. Blain noted that the Marine Corps and Air Force previously concurred and asked the Army and Navy for their comments.  </w:t>
      </w:r>
    </w:p>
    <w:p w:rsidR="00984BD7" w:rsidRDefault="00B902CA" w:rsidP="006D6FF3">
      <w:pPr>
        <w:pStyle w:val="ListParagraph"/>
        <w:numPr>
          <w:ilvl w:val="1"/>
          <w:numId w:val="1"/>
        </w:numPr>
        <w:spacing w:after="160" w:line="259" w:lineRule="auto"/>
      </w:pPr>
      <w:r>
        <w:t>M</w:t>
      </w:r>
      <w:r w:rsidR="00243E1B">
        <w:t xml:space="preserve">s. </w:t>
      </w:r>
      <w:r w:rsidR="00EA5EB8">
        <w:t>Sonia Daugherty</w:t>
      </w:r>
      <w:r w:rsidR="00984BD7">
        <w:t xml:space="preserve"> </w:t>
      </w:r>
      <w:r w:rsidR="009B2EA6">
        <w:t xml:space="preserve">  </w:t>
      </w:r>
      <w:r w:rsidR="00984BD7">
        <w:t xml:space="preserve"> stated that they do not have any feedback regarding the F</w:t>
      </w:r>
      <w:r w:rsidR="00D97B0E">
        <w:t>isher House and will need more time to review</w:t>
      </w:r>
      <w:r w:rsidR="00984BD7">
        <w:t xml:space="preserve">. Mr. Blain acknowledged Ms. Daugherty and provided the assistance of the Grant Thornton team for any future calls the Army may have with the Fisher House. </w:t>
      </w:r>
    </w:p>
    <w:p w:rsidR="00DE6845" w:rsidRDefault="009B2EA6" w:rsidP="006D6FF3">
      <w:pPr>
        <w:pStyle w:val="ListParagraph"/>
        <w:numPr>
          <w:ilvl w:val="1"/>
          <w:numId w:val="1"/>
        </w:numPr>
        <w:spacing w:after="160" w:line="259" w:lineRule="auto"/>
      </w:pPr>
      <w:r>
        <w:t xml:space="preserve">Ms. </w:t>
      </w:r>
      <w:r w:rsidR="00984BD7">
        <w:t>Fowler</w:t>
      </w:r>
      <w:r>
        <w:t xml:space="preserve"> </w:t>
      </w:r>
      <w:r w:rsidR="00984BD7">
        <w:t>noted the Navy has reviewed the positio</w:t>
      </w:r>
      <w:r w:rsidR="00653AFA">
        <w:t>n paper</w:t>
      </w:r>
      <w:r w:rsidR="00984BD7">
        <w:t xml:space="preserve"> and concurred with the recommendation. </w:t>
      </w:r>
    </w:p>
    <w:p w:rsidR="00C2653E" w:rsidRPr="000754D9" w:rsidRDefault="00C2653E" w:rsidP="00C2653E">
      <w:pPr>
        <w:pStyle w:val="ListParagraph"/>
        <w:numPr>
          <w:ilvl w:val="0"/>
          <w:numId w:val="1"/>
        </w:numPr>
        <w:spacing w:after="160" w:line="259" w:lineRule="auto"/>
      </w:pPr>
      <w:r w:rsidRPr="000754D9">
        <w:t xml:space="preserve">Mr. </w:t>
      </w:r>
      <w:r w:rsidR="00685306" w:rsidRPr="000754D9">
        <w:t xml:space="preserve">Blain then </w:t>
      </w:r>
      <w:r w:rsidR="0063005B" w:rsidRPr="000754D9">
        <w:t>proceeded to the next paper</w:t>
      </w:r>
      <w:r w:rsidR="00F80518" w:rsidRPr="000754D9">
        <w:t>: Other Service Managed Revenue (PP #16</w:t>
      </w:r>
      <w:r w:rsidRPr="000754D9">
        <w:t xml:space="preserve">). </w:t>
      </w:r>
    </w:p>
    <w:p w:rsidR="00CA5056" w:rsidRPr="000754D9" w:rsidRDefault="00C2653E" w:rsidP="00CA5056">
      <w:pPr>
        <w:pStyle w:val="ListParagraph"/>
        <w:numPr>
          <w:ilvl w:val="1"/>
          <w:numId w:val="1"/>
        </w:numPr>
        <w:spacing w:after="160" w:line="259" w:lineRule="auto"/>
      </w:pPr>
      <w:r w:rsidRPr="000754D9">
        <w:t xml:space="preserve">This paper </w:t>
      </w:r>
      <w:r w:rsidR="007E2459" w:rsidRPr="000754D9">
        <w:t>recom</w:t>
      </w:r>
      <w:r w:rsidR="00DE6845" w:rsidRPr="000754D9">
        <w:t>mends that all Services standardize their journa</w:t>
      </w:r>
      <w:r w:rsidR="0063005B" w:rsidRPr="000754D9">
        <w:t xml:space="preserve">l transactions and recording of revenue </w:t>
      </w:r>
      <w:r w:rsidR="00BC0C82" w:rsidRPr="000754D9">
        <w:t>from agreements in which one</w:t>
      </w:r>
      <w:r w:rsidR="000A0E23">
        <w:t xml:space="preserve"> Service runs </w:t>
      </w:r>
      <w:r w:rsidR="00BC0C82" w:rsidRPr="000754D9">
        <w:t>a program on behalf of the other Services and then distributes the net profits to those Services. Examples of these programs include</w:t>
      </w:r>
      <w:r w:rsidR="0063005B" w:rsidRPr="000754D9">
        <w:t xml:space="preserve"> slots</w:t>
      </w:r>
      <w:r w:rsidR="00BC0C82" w:rsidRPr="000754D9">
        <w:t xml:space="preserve"> and</w:t>
      </w:r>
      <w:r w:rsidR="0063005B" w:rsidRPr="000754D9">
        <w:t xml:space="preserve"> gaming</w:t>
      </w:r>
      <w:r w:rsidR="00BC0C82" w:rsidRPr="000754D9">
        <w:t>.</w:t>
      </w:r>
      <w:r w:rsidR="0063005B" w:rsidRPr="000754D9">
        <w:t xml:space="preserve"> </w:t>
      </w:r>
    </w:p>
    <w:p w:rsidR="00F026ED" w:rsidRPr="00CA5056" w:rsidRDefault="00CA5056" w:rsidP="009B2EA6">
      <w:pPr>
        <w:pStyle w:val="ListParagraph"/>
        <w:numPr>
          <w:ilvl w:val="1"/>
          <w:numId w:val="1"/>
        </w:numPr>
        <w:spacing w:after="160" w:line="259" w:lineRule="auto"/>
      </w:pPr>
      <w:r>
        <w:lastRenderedPageBreak/>
        <w:t xml:space="preserve">Ms. </w:t>
      </w:r>
      <w:r w:rsidR="003C4885">
        <w:t>Stephe</w:t>
      </w:r>
      <w:r w:rsidR="000A0E23">
        <w:t>ns</w:t>
      </w:r>
      <w:r w:rsidR="009B2EA6">
        <w:t xml:space="preserve"> </w:t>
      </w:r>
      <w:r w:rsidR="000A0E23">
        <w:t>noted this policy should not apply to the American Forces Travel Program</w:t>
      </w:r>
      <w:r w:rsidR="003C4885">
        <w:t>.</w:t>
      </w:r>
      <w:r w:rsidR="009B2EA6">
        <w:t xml:space="preserve">  </w:t>
      </w:r>
      <w:r w:rsidR="003C4885">
        <w:t>Ms. Stephens explained</w:t>
      </w:r>
      <w:r w:rsidR="003E7278">
        <w:t xml:space="preserve"> that after review </w:t>
      </w:r>
      <w:r w:rsidR="00BC0C82">
        <w:t xml:space="preserve">of the position paper </w:t>
      </w:r>
      <w:r w:rsidR="003C4885">
        <w:t>with the</w:t>
      </w:r>
      <w:r w:rsidR="00BC0C82">
        <w:t>ir</w:t>
      </w:r>
      <w:r w:rsidR="003C4885">
        <w:t xml:space="preserve"> aud</w:t>
      </w:r>
      <w:r w:rsidR="003E7278">
        <w:t xml:space="preserve">itors, they have concluded </w:t>
      </w:r>
      <w:r w:rsidR="00BC0C82">
        <w:t xml:space="preserve">that </w:t>
      </w:r>
      <w:r w:rsidR="003C4885">
        <w:t xml:space="preserve">the </w:t>
      </w:r>
      <w:r w:rsidR="00BC0C82">
        <w:t xml:space="preserve">treatment described in the position paper should not apply to the </w:t>
      </w:r>
      <w:r w:rsidR="003C4885">
        <w:t xml:space="preserve">American Forces Travel </w:t>
      </w:r>
      <w:r w:rsidR="00BC0C82">
        <w:t>Progr</w:t>
      </w:r>
      <w:r w:rsidR="000A0E23">
        <w:t xml:space="preserve">am since the program is run by a third party </w:t>
      </w:r>
      <w:r w:rsidR="009B2EA6">
        <w:t>commercial vendor vice another S</w:t>
      </w:r>
      <w:r w:rsidR="000A0E23">
        <w:t>ervice.</w:t>
      </w:r>
      <w:r w:rsidR="009B2EA6">
        <w:t xml:space="preserve">  </w:t>
      </w:r>
      <w:r w:rsidR="00435ECE">
        <w:t>M</w:t>
      </w:r>
      <w:r w:rsidR="002602A2">
        <w:t>r. Curtis</w:t>
      </w:r>
      <w:r w:rsidR="00435ECE">
        <w:t xml:space="preserve"> </w:t>
      </w:r>
      <w:r w:rsidR="00DF51B3">
        <w:t xml:space="preserve">explained that when the position paper was originally written, it was meant for accounting standards </w:t>
      </w:r>
      <w:r w:rsidR="00435ECE">
        <w:t>regarding programs provided by</w:t>
      </w:r>
      <w:r w:rsidR="00F026ED">
        <w:t xml:space="preserve"> one </w:t>
      </w:r>
      <w:r w:rsidR="009B2EA6">
        <w:t>Service</w:t>
      </w:r>
      <w:r w:rsidR="00F026ED">
        <w:t xml:space="preserve"> to another. The recommendation was not meant for </w:t>
      </w:r>
      <w:r w:rsidR="009B2EA6">
        <w:t>Service</w:t>
      </w:r>
      <w:r w:rsidR="00435ECE">
        <w:t xml:space="preserve">s provided by </w:t>
      </w:r>
      <w:r w:rsidR="00F026ED">
        <w:t>a</w:t>
      </w:r>
      <w:r w:rsidR="00435ECE">
        <w:t xml:space="preserve"> non-DoD </w:t>
      </w:r>
      <w:r w:rsidR="00F026ED">
        <w:t xml:space="preserve">third party. </w:t>
      </w:r>
      <w:r w:rsidR="009B2EA6">
        <w:t xml:space="preserve"> </w:t>
      </w:r>
      <w:r w:rsidR="00F026ED">
        <w:t>Mr. Blain concluded the conversation by stating</w:t>
      </w:r>
      <w:r w:rsidR="002602A2">
        <w:t xml:space="preserve"> the paper would be updated by excluding the Armed Forces Travel Program and a</w:t>
      </w:r>
      <w:r w:rsidR="00F026ED">
        <w:t xml:space="preserve">n additional position paper </w:t>
      </w:r>
      <w:r w:rsidR="002602A2">
        <w:t>would be drafted for</w:t>
      </w:r>
      <w:r w:rsidR="00F026ED">
        <w:t xml:space="preserve"> the use of a third party </w:t>
      </w:r>
      <w:r w:rsidR="009B2EA6">
        <w:t>Service</w:t>
      </w:r>
      <w:r w:rsidR="00F026ED">
        <w:t xml:space="preserve"> </w:t>
      </w:r>
      <w:r w:rsidR="002602A2">
        <w:t xml:space="preserve">with </w:t>
      </w:r>
      <w:r w:rsidR="00F026ED">
        <w:t xml:space="preserve">recommendations provided by the Navy.  </w:t>
      </w:r>
    </w:p>
    <w:p w:rsidR="00DE6845" w:rsidRDefault="0022782D" w:rsidP="0022782D">
      <w:pPr>
        <w:pStyle w:val="ListParagraph"/>
        <w:numPr>
          <w:ilvl w:val="1"/>
          <w:numId w:val="1"/>
        </w:numPr>
        <w:spacing w:after="160" w:line="259" w:lineRule="auto"/>
      </w:pPr>
      <w:r>
        <w:t xml:space="preserve">All other </w:t>
      </w:r>
      <w:r w:rsidR="009B2EA6">
        <w:t>Service</w:t>
      </w:r>
      <w:r>
        <w:t xml:space="preserve">s concurred with the recommendation of the </w:t>
      </w:r>
      <w:r w:rsidR="004F3044">
        <w:t xml:space="preserve">paper upon the completion of the suggested changes. </w:t>
      </w:r>
    </w:p>
    <w:p w:rsidR="000457D0" w:rsidRPr="000457D0" w:rsidRDefault="00234906" w:rsidP="000457D0">
      <w:pPr>
        <w:pStyle w:val="ListParagraph"/>
        <w:numPr>
          <w:ilvl w:val="0"/>
          <w:numId w:val="1"/>
        </w:numPr>
        <w:spacing w:after="160" w:line="259" w:lineRule="auto"/>
      </w:pPr>
      <w:r w:rsidRPr="00C8730B">
        <w:t>Mr. B</w:t>
      </w:r>
      <w:r>
        <w:t>lain then proceeded</w:t>
      </w:r>
      <w:r w:rsidR="0063005B">
        <w:t xml:space="preserve"> to the next </w:t>
      </w:r>
      <w:r w:rsidR="00D9618F">
        <w:t xml:space="preserve">position </w:t>
      </w:r>
      <w:r w:rsidR="0063005B">
        <w:t>paper: Flexible Spending Plans (PP</w:t>
      </w:r>
      <w:r w:rsidR="00D9618F">
        <w:t xml:space="preserve"> </w:t>
      </w:r>
      <w:r w:rsidR="0063005B">
        <w:t>#30</w:t>
      </w:r>
      <w:r w:rsidR="0022782D">
        <w:t>)</w:t>
      </w:r>
      <w:r>
        <w:t xml:space="preserve">. </w:t>
      </w:r>
    </w:p>
    <w:p w:rsidR="000457D0" w:rsidRDefault="000457D0" w:rsidP="000457D0">
      <w:pPr>
        <w:pStyle w:val="ListParagraph"/>
        <w:numPr>
          <w:ilvl w:val="1"/>
          <w:numId w:val="1"/>
        </w:numPr>
        <w:spacing w:after="160" w:line="259" w:lineRule="auto"/>
      </w:pPr>
      <w:r>
        <w:t xml:space="preserve">This paper recommends </w:t>
      </w:r>
      <w:r w:rsidR="0063005B">
        <w:t xml:space="preserve">aligning the NAFSGL structure and the FMR. There were two recommendations that were presented: </w:t>
      </w:r>
    </w:p>
    <w:p w:rsidR="0063005B" w:rsidRDefault="0063005B" w:rsidP="0063005B">
      <w:pPr>
        <w:pStyle w:val="ListParagraph"/>
        <w:numPr>
          <w:ilvl w:val="2"/>
          <w:numId w:val="1"/>
        </w:numPr>
      </w:pPr>
      <w:r>
        <w:t>Recommendation A - Add</w:t>
      </w:r>
      <w:r w:rsidRPr="00BB2CBB">
        <w:t xml:space="preserve"> a Flexible Spending Account Payable and</w:t>
      </w:r>
      <w:r>
        <w:t xml:space="preserve"> a </w:t>
      </w:r>
      <w:r w:rsidRPr="00BB2CBB">
        <w:t xml:space="preserve">Flexible </w:t>
      </w:r>
      <w:r>
        <w:t xml:space="preserve">Spending </w:t>
      </w:r>
      <w:r w:rsidRPr="00BB2CBB">
        <w:t>Account Administrative Expense to the NAFSGL 3.0</w:t>
      </w:r>
    </w:p>
    <w:p w:rsidR="0063005B" w:rsidRDefault="0063005B" w:rsidP="0063005B">
      <w:pPr>
        <w:pStyle w:val="ListParagraph"/>
        <w:numPr>
          <w:ilvl w:val="2"/>
          <w:numId w:val="1"/>
        </w:numPr>
      </w:pPr>
      <w:r>
        <w:t xml:space="preserve">Recommendation B - </w:t>
      </w:r>
      <w:r w:rsidRPr="00BB2CBB">
        <w:t xml:space="preserve">Adjust the FMR to </w:t>
      </w:r>
      <w:r>
        <w:t xml:space="preserve">consolidate the FSA liability account into Employee Deductions Payable, and place the FSA admin fee into its own account, into Employee Insurance Premium Expense, or into an Other Operating expense account. </w:t>
      </w:r>
    </w:p>
    <w:p w:rsidR="00644420" w:rsidRDefault="00C97677" w:rsidP="0063005B">
      <w:pPr>
        <w:pStyle w:val="ListParagraph"/>
        <w:numPr>
          <w:ilvl w:val="1"/>
          <w:numId w:val="1"/>
        </w:numPr>
        <w:spacing w:after="160" w:line="259" w:lineRule="auto"/>
      </w:pPr>
      <w:r>
        <w:t>Mr. Blain requested</w:t>
      </w:r>
      <w:r w:rsidR="0063005B">
        <w:t xml:space="preserve"> the </w:t>
      </w:r>
      <w:r w:rsidR="0022782D">
        <w:t>Air Force</w:t>
      </w:r>
      <w:r>
        <w:t xml:space="preserve"> and Army</w:t>
      </w:r>
      <w:r w:rsidR="0063005B">
        <w:t xml:space="preserve"> comment on the recommend</w:t>
      </w:r>
      <w:r>
        <w:t xml:space="preserve">ations. The other </w:t>
      </w:r>
      <w:r w:rsidR="009B2EA6">
        <w:t>Service</w:t>
      </w:r>
      <w:r>
        <w:t xml:space="preserve">s </w:t>
      </w:r>
      <w:r w:rsidR="0063005B">
        <w:t xml:space="preserve">previously concurred. </w:t>
      </w:r>
    </w:p>
    <w:p w:rsidR="0063005B" w:rsidRDefault="0063005B" w:rsidP="00F56088">
      <w:pPr>
        <w:pStyle w:val="ListParagraph"/>
        <w:numPr>
          <w:ilvl w:val="1"/>
          <w:numId w:val="1"/>
        </w:numPr>
        <w:spacing w:after="160" w:line="259" w:lineRule="auto"/>
      </w:pPr>
      <w:r>
        <w:t>Ms. Karnafel</w:t>
      </w:r>
      <w:r w:rsidR="009B2EA6">
        <w:t xml:space="preserve"> </w:t>
      </w:r>
      <w:r>
        <w:t>commented stating that the Air Force concur</w:t>
      </w:r>
      <w:r w:rsidR="00C97677">
        <w:t>s</w:t>
      </w:r>
      <w:r>
        <w:t xml:space="preserve"> with Recommendation A. Ms. Daugherty responded by stating that the Army concurs with Recommendation A as well. </w:t>
      </w:r>
    </w:p>
    <w:p w:rsidR="00413B31" w:rsidRDefault="0063005B" w:rsidP="00413B31">
      <w:pPr>
        <w:pStyle w:val="ListParagraph"/>
        <w:numPr>
          <w:ilvl w:val="1"/>
          <w:numId w:val="1"/>
        </w:numPr>
        <w:spacing w:after="160" w:line="259" w:lineRule="auto"/>
      </w:pPr>
      <w:r>
        <w:t xml:space="preserve">All </w:t>
      </w:r>
      <w:r w:rsidR="009B2EA6">
        <w:t>Service</w:t>
      </w:r>
      <w:r w:rsidR="003A5802">
        <w:t>s concurred with</w:t>
      </w:r>
      <w:r w:rsidR="00413B31">
        <w:t xml:space="preserve"> recommendation </w:t>
      </w:r>
      <w:r w:rsidR="003A5802">
        <w:t xml:space="preserve">A </w:t>
      </w:r>
      <w:r w:rsidR="00413B31">
        <w:t xml:space="preserve">of the paper. </w:t>
      </w:r>
    </w:p>
    <w:p w:rsidR="00F63DD5" w:rsidRDefault="00F63DD5" w:rsidP="00F63DD5">
      <w:pPr>
        <w:pStyle w:val="ListParagraph"/>
        <w:numPr>
          <w:ilvl w:val="0"/>
          <w:numId w:val="1"/>
        </w:numPr>
        <w:spacing w:after="160" w:line="259" w:lineRule="auto"/>
      </w:pPr>
      <w:r>
        <w:t xml:space="preserve">Mr. Blain </w:t>
      </w:r>
      <w:r w:rsidR="002B1A8D">
        <w:t xml:space="preserve">then </w:t>
      </w:r>
      <w:r w:rsidR="0063005B">
        <w:t xml:space="preserve">proceeded to the next </w:t>
      </w:r>
      <w:r w:rsidR="004F0BE4">
        <w:t>position paper: Workers’ Compensation (PP # 18</w:t>
      </w:r>
      <w:r w:rsidR="00AB3AC1">
        <w:t>)</w:t>
      </w:r>
      <w:r w:rsidR="008B6CCA">
        <w:t xml:space="preserve">. </w:t>
      </w:r>
    </w:p>
    <w:p w:rsidR="00AA5083" w:rsidRPr="004F0BE4" w:rsidRDefault="00AB3AC1" w:rsidP="004F0BE4">
      <w:pPr>
        <w:pStyle w:val="ListParagraph"/>
        <w:numPr>
          <w:ilvl w:val="1"/>
          <w:numId w:val="1"/>
        </w:numPr>
      </w:pPr>
      <w:r>
        <w:t xml:space="preserve">This paper </w:t>
      </w:r>
      <w:r w:rsidR="004F0BE4">
        <w:t xml:space="preserve">recommends that all Services </w:t>
      </w:r>
      <w:r w:rsidR="004F0BE4" w:rsidRPr="004F0BE4">
        <w:t>account for Workers’ Compensation relating to uninsured, or self-insured risks occurring on or before the balance-sheet date as a probable loss contingency.</w:t>
      </w:r>
    </w:p>
    <w:p w:rsidR="00D32C76" w:rsidRDefault="00DE2571" w:rsidP="004F0BE4">
      <w:pPr>
        <w:pStyle w:val="ListParagraph"/>
        <w:numPr>
          <w:ilvl w:val="1"/>
          <w:numId w:val="1"/>
        </w:numPr>
        <w:spacing w:after="160" w:line="259" w:lineRule="auto"/>
      </w:pPr>
      <w:r>
        <w:t xml:space="preserve">Ms. </w:t>
      </w:r>
      <w:r w:rsidR="004F0BE4">
        <w:t xml:space="preserve">Daugherty stated that </w:t>
      </w:r>
      <w:r w:rsidR="009B2EA6">
        <w:t>Army</w:t>
      </w:r>
      <w:r w:rsidR="004F0BE4">
        <w:t xml:space="preserve"> need</w:t>
      </w:r>
      <w:r w:rsidR="009B2EA6">
        <w:t>s</w:t>
      </w:r>
      <w:r w:rsidR="004F0BE4">
        <w:t xml:space="preserve"> more time to review the position paper and will reach out to Mr. Blain upon completion. </w:t>
      </w:r>
    </w:p>
    <w:p w:rsidR="004F0BE4" w:rsidRDefault="009B2EA6" w:rsidP="004F0BE4">
      <w:pPr>
        <w:pStyle w:val="ListParagraph"/>
        <w:numPr>
          <w:ilvl w:val="1"/>
          <w:numId w:val="1"/>
        </w:numPr>
        <w:spacing w:after="160" w:line="259" w:lineRule="auto"/>
      </w:pPr>
      <w:r>
        <w:t>All other Services</w:t>
      </w:r>
      <w:r w:rsidR="004F0BE4">
        <w:t xml:space="preserve"> concurred with recommendation of the position paper.</w:t>
      </w:r>
    </w:p>
    <w:p w:rsidR="00D9618F" w:rsidRDefault="00D9618F" w:rsidP="00D9618F">
      <w:pPr>
        <w:spacing w:after="160" w:line="259" w:lineRule="auto"/>
      </w:pPr>
    </w:p>
    <w:p w:rsidR="00D9618F" w:rsidRDefault="00D9618F" w:rsidP="00D9618F">
      <w:pPr>
        <w:spacing w:after="160" w:line="259" w:lineRule="auto"/>
      </w:pPr>
    </w:p>
    <w:p w:rsidR="002021AC" w:rsidRPr="000754D9" w:rsidRDefault="0031019E" w:rsidP="002021AC">
      <w:pPr>
        <w:pStyle w:val="ListParagraph"/>
        <w:numPr>
          <w:ilvl w:val="0"/>
          <w:numId w:val="1"/>
        </w:numPr>
        <w:spacing w:after="160" w:line="259" w:lineRule="auto"/>
      </w:pPr>
      <w:r w:rsidRPr="000754D9">
        <w:lastRenderedPageBreak/>
        <w:t>Mr.</w:t>
      </w:r>
      <w:r w:rsidR="00F54839" w:rsidRPr="000754D9">
        <w:t xml:space="preserve"> Blain then </w:t>
      </w:r>
      <w:r w:rsidR="004F0BE4" w:rsidRPr="000754D9">
        <w:t xml:space="preserve">proceeded to </w:t>
      </w:r>
      <w:r w:rsidR="00BE209B" w:rsidRPr="000754D9">
        <w:t xml:space="preserve">the </w:t>
      </w:r>
      <w:r w:rsidR="00D9618F">
        <w:t>next position paper: Recycling (PP #</w:t>
      </w:r>
      <w:r w:rsidR="004F0BE4" w:rsidRPr="000754D9">
        <w:t>32</w:t>
      </w:r>
      <w:r w:rsidR="002021AC" w:rsidRPr="000754D9">
        <w:t xml:space="preserve">) </w:t>
      </w:r>
    </w:p>
    <w:p w:rsidR="00651E87" w:rsidRDefault="00F54839" w:rsidP="00F54839">
      <w:pPr>
        <w:pStyle w:val="ListParagraph"/>
        <w:numPr>
          <w:ilvl w:val="1"/>
          <w:numId w:val="1"/>
        </w:numPr>
        <w:rPr>
          <w:bCs/>
        </w:rPr>
      </w:pPr>
      <w:r>
        <w:t xml:space="preserve">The paper </w:t>
      </w:r>
      <w:r w:rsidRPr="00F54839">
        <w:rPr>
          <w:bCs/>
        </w:rPr>
        <w:t>recommend</w:t>
      </w:r>
      <w:r>
        <w:rPr>
          <w:bCs/>
        </w:rPr>
        <w:t>s</w:t>
      </w:r>
      <w:r w:rsidR="00C97677">
        <w:rPr>
          <w:bCs/>
        </w:rPr>
        <w:t xml:space="preserve"> DoDI</w:t>
      </w:r>
      <w:r w:rsidRPr="00F54839">
        <w:rPr>
          <w:bCs/>
        </w:rPr>
        <w:t xml:space="preserve"> </w:t>
      </w:r>
      <w:r w:rsidR="00190C0A">
        <w:rPr>
          <w:bCs/>
        </w:rPr>
        <w:t xml:space="preserve">1015.15, </w:t>
      </w:r>
      <w:r w:rsidRPr="00F54839">
        <w:rPr>
          <w:bCs/>
        </w:rPr>
        <w:t>FMR</w:t>
      </w:r>
      <w:r w:rsidR="00C97677">
        <w:rPr>
          <w:bCs/>
        </w:rPr>
        <w:t>, and NAF</w:t>
      </w:r>
      <w:r w:rsidR="00190C0A">
        <w:rPr>
          <w:bCs/>
        </w:rPr>
        <w:t xml:space="preserve">SGL be changed to specifically exclude recycling programs as an MWR activity. </w:t>
      </w:r>
      <w:r w:rsidR="00D9618F">
        <w:rPr>
          <w:bCs/>
        </w:rPr>
        <w:t>Any revenue received</w:t>
      </w:r>
      <w:r w:rsidR="00204501">
        <w:rPr>
          <w:bCs/>
        </w:rPr>
        <w:t xml:space="preserve"> will be categorized as a non-operating revenue. </w:t>
      </w:r>
    </w:p>
    <w:p w:rsidR="006357AC" w:rsidRDefault="006357AC" w:rsidP="00F54839">
      <w:pPr>
        <w:pStyle w:val="ListParagraph"/>
        <w:numPr>
          <w:ilvl w:val="1"/>
          <w:numId w:val="1"/>
        </w:numPr>
        <w:rPr>
          <w:bCs/>
        </w:rPr>
      </w:pPr>
      <w:r>
        <w:rPr>
          <w:bCs/>
        </w:rPr>
        <w:t xml:space="preserve">Ms. Sonia Daugherty noted that the Army </w:t>
      </w:r>
      <w:r w:rsidR="00C97677">
        <w:rPr>
          <w:bCs/>
        </w:rPr>
        <w:t>currently treats recycling as</w:t>
      </w:r>
      <w:r>
        <w:rPr>
          <w:bCs/>
        </w:rPr>
        <w:t xml:space="preserve"> operating income but </w:t>
      </w:r>
      <w:r w:rsidR="00C97677">
        <w:rPr>
          <w:bCs/>
        </w:rPr>
        <w:t>sees no issue</w:t>
      </w:r>
      <w:r w:rsidR="00CC47F2">
        <w:rPr>
          <w:bCs/>
        </w:rPr>
        <w:t xml:space="preserve"> </w:t>
      </w:r>
      <w:r w:rsidR="00C97677">
        <w:rPr>
          <w:bCs/>
        </w:rPr>
        <w:t>treating as</w:t>
      </w:r>
      <w:r>
        <w:rPr>
          <w:bCs/>
        </w:rPr>
        <w:t xml:space="preserve"> non-operating</w:t>
      </w:r>
      <w:r w:rsidR="00CC47F2">
        <w:rPr>
          <w:bCs/>
        </w:rPr>
        <w:t xml:space="preserve"> income</w:t>
      </w:r>
      <w:r>
        <w:rPr>
          <w:bCs/>
        </w:rPr>
        <w:t xml:space="preserve">. </w:t>
      </w:r>
    </w:p>
    <w:p w:rsidR="00CC47F2" w:rsidRDefault="00CC47F2" w:rsidP="009854D1">
      <w:pPr>
        <w:pStyle w:val="ListParagraph"/>
        <w:numPr>
          <w:ilvl w:val="1"/>
          <w:numId w:val="1"/>
        </w:numPr>
        <w:rPr>
          <w:bCs/>
        </w:rPr>
      </w:pPr>
      <w:r>
        <w:rPr>
          <w:bCs/>
        </w:rPr>
        <w:t>Ms. Nancy Stephens</w:t>
      </w:r>
      <w:r w:rsidR="00C978ED">
        <w:rPr>
          <w:bCs/>
        </w:rPr>
        <w:t xml:space="preserve"> stated that the Navy </w:t>
      </w:r>
      <w:r w:rsidR="00DF71CF">
        <w:rPr>
          <w:bCs/>
        </w:rPr>
        <w:t>agrees with</w:t>
      </w:r>
      <w:r>
        <w:rPr>
          <w:bCs/>
        </w:rPr>
        <w:t xml:space="preserve"> excluding recycling as an MWR activity and </w:t>
      </w:r>
      <w:r w:rsidR="00DF71CF">
        <w:rPr>
          <w:bCs/>
        </w:rPr>
        <w:t xml:space="preserve">treating as </w:t>
      </w:r>
      <w:r>
        <w:rPr>
          <w:bCs/>
        </w:rPr>
        <w:t xml:space="preserve">non-operating income. </w:t>
      </w:r>
      <w:r w:rsidR="009854D1">
        <w:rPr>
          <w:bCs/>
        </w:rPr>
        <w:t xml:space="preserve">Ms. Stephens noted that the Navy would like to research their accounting standards before offering final concurrence. Ms. Stephens also </w:t>
      </w:r>
      <w:r w:rsidR="00DF71CF">
        <w:rPr>
          <w:bCs/>
        </w:rPr>
        <w:t>opined that the paper should not refer to Recycling as “Category A” since Recycling is not an MWR activity</w:t>
      </w:r>
      <w:r w:rsidR="009854D1">
        <w:rPr>
          <w:bCs/>
        </w:rPr>
        <w:t xml:space="preserve"> </w:t>
      </w:r>
      <w:r w:rsidR="00C82148" w:rsidRPr="009854D1">
        <w:rPr>
          <w:bCs/>
        </w:rPr>
        <w:t xml:space="preserve"> </w:t>
      </w:r>
    </w:p>
    <w:p w:rsidR="009854D1" w:rsidRPr="009854D1" w:rsidRDefault="009854D1" w:rsidP="009854D1">
      <w:pPr>
        <w:pStyle w:val="ListParagraph"/>
        <w:numPr>
          <w:ilvl w:val="1"/>
          <w:numId w:val="1"/>
        </w:numPr>
        <w:rPr>
          <w:bCs/>
        </w:rPr>
      </w:pPr>
      <w:r>
        <w:rPr>
          <w:bCs/>
        </w:rPr>
        <w:t xml:space="preserve">All </w:t>
      </w:r>
      <w:r w:rsidR="009B2EA6">
        <w:rPr>
          <w:bCs/>
        </w:rPr>
        <w:t>S</w:t>
      </w:r>
      <w:r>
        <w:rPr>
          <w:bCs/>
        </w:rPr>
        <w:t>ervices concur</w:t>
      </w:r>
      <w:r w:rsidR="00BD3BA2">
        <w:rPr>
          <w:bCs/>
        </w:rPr>
        <w:t>red</w:t>
      </w:r>
      <w:r>
        <w:rPr>
          <w:bCs/>
        </w:rPr>
        <w:t xml:space="preserve"> with the first recommendation of excluding Recycling as an MWR activity and treating it as a non-operating income. </w:t>
      </w:r>
    </w:p>
    <w:p w:rsidR="00204501" w:rsidRPr="00CC47F2" w:rsidRDefault="009854D1" w:rsidP="00CC47F2">
      <w:pPr>
        <w:pStyle w:val="ListParagraph"/>
        <w:numPr>
          <w:ilvl w:val="1"/>
          <w:numId w:val="1"/>
        </w:numPr>
        <w:rPr>
          <w:bCs/>
        </w:rPr>
      </w:pPr>
      <w:r>
        <w:rPr>
          <w:bCs/>
        </w:rPr>
        <w:t>Mr. Blain acknowledged</w:t>
      </w:r>
      <w:r w:rsidR="00DF71CF">
        <w:rPr>
          <w:bCs/>
        </w:rPr>
        <w:t xml:space="preserve"> the Navy’s position</w:t>
      </w:r>
      <w:r w:rsidR="00CC47F2">
        <w:rPr>
          <w:bCs/>
        </w:rPr>
        <w:t xml:space="preserve"> and expla</w:t>
      </w:r>
      <w:r w:rsidR="00DF71CF">
        <w:rPr>
          <w:bCs/>
        </w:rPr>
        <w:t>ined that the position paper will</w:t>
      </w:r>
      <w:r w:rsidR="00CC47F2">
        <w:rPr>
          <w:bCs/>
        </w:rPr>
        <w:t xml:space="preserve"> move towards final concurrence barring any unexpected findings from the Navy’s research.</w:t>
      </w:r>
      <w:r w:rsidR="00CC47F2" w:rsidRPr="00CC47F2">
        <w:rPr>
          <w:bCs/>
        </w:rPr>
        <w:t xml:space="preserve"> </w:t>
      </w:r>
      <w:r>
        <w:rPr>
          <w:bCs/>
        </w:rPr>
        <w:t xml:space="preserve">Mr. Blain also noted </w:t>
      </w:r>
      <w:r w:rsidR="00DF71CF">
        <w:rPr>
          <w:bCs/>
        </w:rPr>
        <w:t xml:space="preserve">the </w:t>
      </w:r>
      <w:r>
        <w:rPr>
          <w:bCs/>
        </w:rPr>
        <w:t xml:space="preserve">position paper </w:t>
      </w:r>
      <w:r w:rsidR="00DF71CF">
        <w:rPr>
          <w:bCs/>
        </w:rPr>
        <w:t>will be updated to remove the “Category A”</w:t>
      </w:r>
      <w:r>
        <w:rPr>
          <w:bCs/>
        </w:rPr>
        <w:t xml:space="preserve"> language. </w:t>
      </w:r>
    </w:p>
    <w:p w:rsidR="00F2584B" w:rsidRDefault="00F2584B" w:rsidP="00F2584B">
      <w:pPr>
        <w:pStyle w:val="ListParagraph"/>
        <w:numPr>
          <w:ilvl w:val="0"/>
          <w:numId w:val="1"/>
        </w:numPr>
        <w:rPr>
          <w:bCs/>
        </w:rPr>
      </w:pPr>
      <w:r>
        <w:rPr>
          <w:bCs/>
        </w:rPr>
        <w:t>Mr. Blain then procee</w:t>
      </w:r>
      <w:r w:rsidR="00BD3BA2">
        <w:rPr>
          <w:bCs/>
        </w:rPr>
        <w:t>ded to the last</w:t>
      </w:r>
      <w:r>
        <w:rPr>
          <w:bCs/>
        </w:rPr>
        <w:t xml:space="preserve"> </w:t>
      </w:r>
      <w:r w:rsidR="00DF71CF">
        <w:rPr>
          <w:bCs/>
        </w:rPr>
        <w:t>position paper</w:t>
      </w:r>
      <w:r>
        <w:rPr>
          <w:bCs/>
        </w:rPr>
        <w:t xml:space="preserve">: Unemployment Insurance (PP # 34). </w:t>
      </w:r>
    </w:p>
    <w:p w:rsidR="00F2584B" w:rsidRDefault="00E25581" w:rsidP="00F2584B">
      <w:pPr>
        <w:pStyle w:val="ListParagraph"/>
        <w:numPr>
          <w:ilvl w:val="1"/>
          <w:numId w:val="1"/>
        </w:numPr>
        <w:rPr>
          <w:bCs/>
        </w:rPr>
      </w:pPr>
      <w:r>
        <w:rPr>
          <w:bCs/>
        </w:rPr>
        <w:t xml:space="preserve">This paper recommends </w:t>
      </w:r>
      <w:r w:rsidRPr="00E25581">
        <w:rPr>
          <w:bCs/>
        </w:rPr>
        <w:t>that the Services treat Unemployment Insurance liabilities as contingent liabilities consistent with FASAB and GAAP 450.20 guidance</w:t>
      </w:r>
      <w:r w:rsidR="00204501">
        <w:rPr>
          <w:bCs/>
        </w:rPr>
        <w:t xml:space="preserve">. </w:t>
      </w:r>
      <w:r w:rsidR="00BE209B">
        <w:rPr>
          <w:bCs/>
        </w:rPr>
        <w:t xml:space="preserve">The paper also recommends the addition of a new </w:t>
      </w:r>
      <w:r w:rsidR="00D9618F">
        <w:rPr>
          <w:bCs/>
        </w:rPr>
        <w:t>GLAC</w:t>
      </w:r>
      <w:r w:rsidR="00BE209B">
        <w:rPr>
          <w:bCs/>
        </w:rPr>
        <w:t>,</w:t>
      </w:r>
      <w:r w:rsidR="00204501">
        <w:rPr>
          <w:bCs/>
        </w:rPr>
        <w:t xml:space="preserve"> “Post Employment Benefit Expenses”</w:t>
      </w:r>
      <w:r w:rsidR="00BE209B">
        <w:rPr>
          <w:bCs/>
        </w:rPr>
        <w:t xml:space="preserve">, to record </w:t>
      </w:r>
      <w:r w:rsidR="00204501">
        <w:rPr>
          <w:bCs/>
        </w:rPr>
        <w:t xml:space="preserve">expenses related to </w:t>
      </w:r>
      <w:r w:rsidR="00406833">
        <w:rPr>
          <w:bCs/>
        </w:rPr>
        <w:t>un</w:t>
      </w:r>
      <w:r w:rsidR="00204501">
        <w:rPr>
          <w:bCs/>
        </w:rPr>
        <w:t xml:space="preserve">employment compensation. </w:t>
      </w:r>
    </w:p>
    <w:p w:rsidR="00E25581" w:rsidRDefault="00E25581" w:rsidP="00F2584B">
      <w:pPr>
        <w:pStyle w:val="ListParagraph"/>
        <w:numPr>
          <w:ilvl w:val="1"/>
          <w:numId w:val="1"/>
        </w:numPr>
        <w:rPr>
          <w:bCs/>
        </w:rPr>
      </w:pPr>
      <w:r>
        <w:rPr>
          <w:bCs/>
        </w:rPr>
        <w:t>Ms. Karnafel</w:t>
      </w:r>
      <w:r w:rsidR="00D9618F">
        <w:rPr>
          <w:bCs/>
        </w:rPr>
        <w:t xml:space="preserve"> stated </w:t>
      </w:r>
      <w:r>
        <w:rPr>
          <w:bCs/>
        </w:rPr>
        <w:t xml:space="preserve">the Air Force </w:t>
      </w:r>
      <w:r w:rsidR="001B3C08">
        <w:rPr>
          <w:bCs/>
        </w:rPr>
        <w:t>currently</w:t>
      </w:r>
      <w:r>
        <w:rPr>
          <w:bCs/>
        </w:rPr>
        <w:t xml:space="preserve"> </w:t>
      </w:r>
      <w:r w:rsidR="001B3C08">
        <w:rPr>
          <w:bCs/>
        </w:rPr>
        <w:t>do</w:t>
      </w:r>
      <w:r w:rsidR="00406833">
        <w:rPr>
          <w:bCs/>
        </w:rPr>
        <w:t>es</w:t>
      </w:r>
      <w:r w:rsidR="001B3C08">
        <w:rPr>
          <w:bCs/>
        </w:rPr>
        <w:t xml:space="preserve"> not have reserve accounts for </w:t>
      </w:r>
      <w:r w:rsidR="00406833">
        <w:rPr>
          <w:bCs/>
        </w:rPr>
        <w:t xml:space="preserve">the </w:t>
      </w:r>
      <w:r w:rsidR="001B3C08">
        <w:rPr>
          <w:bCs/>
        </w:rPr>
        <w:t>long</w:t>
      </w:r>
      <w:r w:rsidR="00406833">
        <w:rPr>
          <w:bCs/>
        </w:rPr>
        <w:t>-</w:t>
      </w:r>
      <w:r w:rsidR="001B3C08">
        <w:rPr>
          <w:bCs/>
        </w:rPr>
        <w:t xml:space="preserve">term </w:t>
      </w:r>
      <w:r w:rsidR="00406833">
        <w:rPr>
          <w:bCs/>
        </w:rPr>
        <w:t>liability portion</w:t>
      </w:r>
      <w:r w:rsidR="001B3C08">
        <w:rPr>
          <w:bCs/>
        </w:rPr>
        <w:t xml:space="preserve">. They reimburse state employment funds for qualifying NAFI funds and will need to update the crosswalks to match the NAFSGL. </w:t>
      </w:r>
    </w:p>
    <w:p w:rsidR="001B3C08" w:rsidRDefault="001B3C08" w:rsidP="00F2584B">
      <w:pPr>
        <w:pStyle w:val="ListParagraph"/>
        <w:numPr>
          <w:ilvl w:val="1"/>
          <w:numId w:val="1"/>
        </w:numPr>
        <w:rPr>
          <w:bCs/>
        </w:rPr>
      </w:pPr>
      <w:r>
        <w:rPr>
          <w:bCs/>
        </w:rPr>
        <w:t>Ms. Stephens</w:t>
      </w:r>
      <w:r w:rsidR="00D9618F">
        <w:rPr>
          <w:bCs/>
        </w:rPr>
        <w:t xml:space="preserve"> </w:t>
      </w:r>
      <w:r>
        <w:rPr>
          <w:bCs/>
        </w:rPr>
        <w:t>clarified that the Navy ha</w:t>
      </w:r>
      <w:r w:rsidR="00406833">
        <w:rPr>
          <w:bCs/>
        </w:rPr>
        <w:t>s</w:t>
      </w:r>
      <w:r>
        <w:rPr>
          <w:bCs/>
        </w:rPr>
        <w:t xml:space="preserve"> a benefits expense account. For the long</w:t>
      </w:r>
      <w:r w:rsidR="00406833">
        <w:rPr>
          <w:bCs/>
        </w:rPr>
        <w:t>-</w:t>
      </w:r>
      <w:r>
        <w:rPr>
          <w:bCs/>
        </w:rPr>
        <w:t>term</w:t>
      </w:r>
      <w:r w:rsidR="00406833">
        <w:rPr>
          <w:bCs/>
        </w:rPr>
        <w:t xml:space="preserve"> liability</w:t>
      </w:r>
      <w:r>
        <w:rPr>
          <w:bCs/>
        </w:rPr>
        <w:t>, the Navy ha</w:t>
      </w:r>
      <w:r w:rsidR="00406833">
        <w:rPr>
          <w:bCs/>
        </w:rPr>
        <w:t>s</w:t>
      </w:r>
      <w:r>
        <w:rPr>
          <w:bCs/>
        </w:rPr>
        <w:t xml:space="preserve"> a</w:t>
      </w:r>
      <w:r w:rsidR="00204501">
        <w:rPr>
          <w:bCs/>
        </w:rPr>
        <w:t xml:space="preserve"> reserve</w:t>
      </w:r>
      <w:r w:rsidR="00CC47F2">
        <w:rPr>
          <w:bCs/>
        </w:rPr>
        <w:t>s account</w:t>
      </w:r>
      <w:r w:rsidR="00204501">
        <w:rPr>
          <w:bCs/>
        </w:rPr>
        <w:t xml:space="preserve"> for any future claims. </w:t>
      </w:r>
      <w:r>
        <w:rPr>
          <w:bCs/>
        </w:rPr>
        <w:t>The Navy concur</w:t>
      </w:r>
      <w:r w:rsidR="00406833">
        <w:rPr>
          <w:bCs/>
        </w:rPr>
        <w:t>red</w:t>
      </w:r>
      <w:r>
        <w:rPr>
          <w:bCs/>
        </w:rPr>
        <w:t xml:space="preserve"> with the position paper recommendation. </w:t>
      </w:r>
    </w:p>
    <w:p w:rsidR="001B3C08" w:rsidRDefault="00F91C39" w:rsidP="00F2584B">
      <w:pPr>
        <w:pStyle w:val="ListParagraph"/>
        <w:numPr>
          <w:ilvl w:val="1"/>
          <w:numId w:val="1"/>
        </w:numPr>
        <w:rPr>
          <w:bCs/>
        </w:rPr>
      </w:pPr>
      <w:r>
        <w:rPr>
          <w:bCs/>
        </w:rPr>
        <w:t>Ms</w:t>
      </w:r>
      <w:r w:rsidR="00777AF3">
        <w:rPr>
          <w:bCs/>
        </w:rPr>
        <w:t>. Craddock</w:t>
      </w:r>
      <w:r w:rsidR="00D9618F">
        <w:rPr>
          <w:bCs/>
        </w:rPr>
        <w:t xml:space="preserve"> </w:t>
      </w:r>
      <w:r w:rsidR="00CC47F2">
        <w:rPr>
          <w:bCs/>
        </w:rPr>
        <w:t xml:space="preserve">noted that they would need more time </w:t>
      </w:r>
      <w:r>
        <w:rPr>
          <w:bCs/>
        </w:rPr>
        <w:t>to review the recommendation. Ms</w:t>
      </w:r>
      <w:r w:rsidR="00CC47F2">
        <w:rPr>
          <w:bCs/>
        </w:rPr>
        <w:t>. Craddock explained that the Marine Corps currently ha</w:t>
      </w:r>
      <w:r w:rsidR="00406833">
        <w:rPr>
          <w:bCs/>
        </w:rPr>
        <w:t>s</w:t>
      </w:r>
      <w:r w:rsidR="00CC47F2">
        <w:rPr>
          <w:bCs/>
        </w:rPr>
        <w:t xml:space="preserve"> a separate </w:t>
      </w:r>
      <w:r w:rsidR="00CA5056">
        <w:rPr>
          <w:bCs/>
        </w:rPr>
        <w:t xml:space="preserve">liability account for any expenses that need to be paid out. </w:t>
      </w:r>
    </w:p>
    <w:p w:rsidR="00CA5056" w:rsidRDefault="00CA5056" w:rsidP="00F2584B">
      <w:pPr>
        <w:pStyle w:val="ListParagraph"/>
        <w:numPr>
          <w:ilvl w:val="1"/>
          <w:numId w:val="1"/>
        </w:numPr>
        <w:rPr>
          <w:bCs/>
        </w:rPr>
      </w:pPr>
      <w:r>
        <w:rPr>
          <w:bCs/>
        </w:rPr>
        <w:t xml:space="preserve">Ms. </w:t>
      </w:r>
      <w:r w:rsidR="00F91C39">
        <w:rPr>
          <w:bCs/>
        </w:rPr>
        <w:t>Daugherty</w:t>
      </w:r>
      <w:r w:rsidR="00D9618F">
        <w:rPr>
          <w:bCs/>
        </w:rPr>
        <w:t xml:space="preserve"> </w:t>
      </w:r>
      <w:r>
        <w:rPr>
          <w:bCs/>
        </w:rPr>
        <w:t xml:space="preserve">stated the Army would </w:t>
      </w:r>
      <w:r w:rsidR="00F91C39">
        <w:rPr>
          <w:bCs/>
        </w:rPr>
        <w:t xml:space="preserve">also </w:t>
      </w:r>
      <w:r>
        <w:rPr>
          <w:bCs/>
        </w:rPr>
        <w:t xml:space="preserve">need more time to review the position paper. </w:t>
      </w:r>
    </w:p>
    <w:p w:rsidR="004F0BE4" w:rsidRPr="00F54839" w:rsidRDefault="004F0BE4" w:rsidP="004F0BE4">
      <w:pPr>
        <w:pStyle w:val="ListParagraph"/>
        <w:ind w:left="1440"/>
        <w:rPr>
          <w:bCs/>
        </w:rPr>
      </w:pPr>
    </w:p>
    <w:p w:rsidR="00F74D53" w:rsidRDefault="007D7EB2" w:rsidP="00F74D53">
      <w:pPr>
        <w:rPr>
          <w:b/>
          <w:u w:val="single"/>
        </w:rPr>
      </w:pPr>
      <w:r w:rsidRPr="00C8730B">
        <w:rPr>
          <w:b/>
          <w:u w:val="single"/>
        </w:rPr>
        <w:t xml:space="preserve">Wrap-up </w:t>
      </w:r>
      <w:r w:rsidR="00A34878" w:rsidRPr="00C8730B">
        <w:rPr>
          <w:b/>
          <w:u w:val="single"/>
        </w:rPr>
        <w:t>&amp; Ac</w:t>
      </w:r>
      <w:r w:rsidR="00651E87">
        <w:rPr>
          <w:b/>
          <w:u w:val="single"/>
        </w:rPr>
        <w:t>tion Items – Mr. Mike Curtis</w:t>
      </w:r>
      <w:r w:rsidRPr="00C8730B">
        <w:rPr>
          <w:b/>
          <w:u w:val="single"/>
        </w:rPr>
        <w:t>, MWR &amp; Resale Policy</w:t>
      </w:r>
    </w:p>
    <w:p w:rsidR="00B63E27" w:rsidRDefault="0025465F" w:rsidP="00CA5056">
      <w:pPr>
        <w:pStyle w:val="ListParagraph"/>
        <w:numPr>
          <w:ilvl w:val="0"/>
          <w:numId w:val="24"/>
        </w:numPr>
      </w:pPr>
      <w:r>
        <w:t>M</w:t>
      </w:r>
      <w:r w:rsidR="00190C0A">
        <w:t xml:space="preserve">r. Curtis </w:t>
      </w:r>
      <w:r>
        <w:t xml:space="preserve">ended the </w:t>
      </w:r>
      <w:r w:rsidR="00E71713">
        <w:t>working g</w:t>
      </w:r>
      <w:r w:rsidR="00CA5056">
        <w:t>roup discussion by acknowledging the remaining position papers, Direct Overhead/Common Support Functions (PP #15) and Deprecia</w:t>
      </w:r>
      <w:r w:rsidR="0020150A">
        <w:t>tion Allo</w:t>
      </w:r>
      <w:r w:rsidR="00D9618F">
        <w:t>cation (PP #</w:t>
      </w:r>
      <w:r w:rsidR="0020150A">
        <w:t>17)</w:t>
      </w:r>
      <w:r w:rsidR="00830470">
        <w:t xml:space="preserve"> will be </w:t>
      </w:r>
      <w:r w:rsidR="00820571">
        <w:t>d</w:t>
      </w:r>
      <w:r w:rsidR="00830470">
        <w:t>iscussed during the 2019 March w</w:t>
      </w:r>
      <w:r w:rsidR="00CA5056">
        <w:t xml:space="preserve">orkshop. </w:t>
      </w:r>
      <w:r w:rsidR="001B622E" w:rsidRPr="00C8730B">
        <w:lastRenderedPageBreak/>
        <w:t>The working group did not raise any add</w:t>
      </w:r>
      <w:r w:rsidR="001B622E">
        <w:t>itional questions and Mr. Curtis</w:t>
      </w:r>
      <w:r w:rsidR="001B622E" w:rsidRPr="00C8730B">
        <w:t xml:space="preserve"> concluded the meeting. </w:t>
      </w:r>
    </w:p>
    <w:p w:rsidR="0098536A" w:rsidRPr="0098536A" w:rsidRDefault="0098536A" w:rsidP="0098536A">
      <w:pPr>
        <w:pStyle w:val="ListParagraph"/>
      </w:pPr>
    </w:p>
    <w:p w:rsidR="00F74D53" w:rsidRDefault="00F74D53" w:rsidP="00F74D53">
      <w:pPr>
        <w:rPr>
          <w:b/>
          <w:u w:val="single"/>
        </w:rPr>
      </w:pPr>
      <w:r w:rsidRPr="00C8730B">
        <w:rPr>
          <w:b/>
          <w:u w:val="single"/>
        </w:rPr>
        <w:t>Action items</w:t>
      </w:r>
    </w:p>
    <w:p w:rsidR="00E73519" w:rsidRPr="00E73519" w:rsidRDefault="00E73519" w:rsidP="00E20265">
      <w:pPr>
        <w:pStyle w:val="ListParagraph"/>
        <w:numPr>
          <w:ilvl w:val="0"/>
          <w:numId w:val="22"/>
        </w:numPr>
        <w:rPr>
          <w:b/>
          <w:u w:val="single"/>
        </w:rPr>
      </w:pPr>
      <w:r>
        <w:t>OSD and t</w:t>
      </w:r>
      <w:r w:rsidR="00861BDD">
        <w:t xml:space="preserve">he </w:t>
      </w:r>
      <w:r w:rsidR="00E20265">
        <w:t>Gr</w:t>
      </w:r>
      <w:r w:rsidR="00C15BB1">
        <w:t>ant Thornton</w:t>
      </w:r>
      <w:r w:rsidR="00861BDD">
        <w:t xml:space="preserve"> team </w:t>
      </w:r>
      <w:r w:rsidR="00C15BB1">
        <w:t xml:space="preserve">will </w:t>
      </w:r>
      <w:r>
        <w:t xml:space="preserve">update Position Papers </w:t>
      </w:r>
      <w:r w:rsidR="001032C5">
        <w:t>#</w:t>
      </w:r>
      <w:r>
        <w:t>1</w:t>
      </w:r>
      <w:r w:rsidR="00C210EF">
        <w:t xml:space="preserve">6, </w:t>
      </w:r>
      <w:r w:rsidR="001032C5">
        <w:t>#</w:t>
      </w:r>
      <w:r w:rsidR="00C210EF">
        <w:t xml:space="preserve">30, </w:t>
      </w:r>
      <w:r w:rsidR="001032C5">
        <w:t>#</w:t>
      </w:r>
      <w:r>
        <w:t>32</w:t>
      </w:r>
      <w:r w:rsidR="00C210EF">
        <w:t xml:space="preserve">, </w:t>
      </w:r>
      <w:r w:rsidR="001032C5">
        <w:t>#</w:t>
      </w:r>
      <w:r w:rsidR="00C210EF">
        <w:t>33</w:t>
      </w:r>
      <w:r>
        <w:t xml:space="preserve">. </w:t>
      </w:r>
    </w:p>
    <w:p w:rsidR="00E73519" w:rsidRDefault="00E73519" w:rsidP="00830470">
      <w:pPr>
        <w:pStyle w:val="ListParagraph"/>
        <w:numPr>
          <w:ilvl w:val="1"/>
          <w:numId w:val="22"/>
        </w:numPr>
      </w:pPr>
      <w:r w:rsidRPr="00E73519">
        <w:t>Other Service Managed Revenue (PP #16</w:t>
      </w:r>
      <w:r>
        <w:t xml:space="preserve">): </w:t>
      </w:r>
      <w:r w:rsidR="00965E25">
        <w:t xml:space="preserve">OSD and </w:t>
      </w:r>
      <w:r>
        <w:t xml:space="preserve">Grant Thornton will create </w:t>
      </w:r>
      <w:r w:rsidR="00406833">
        <w:t xml:space="preserve">a </w:t>
      </w:r>
      <w:r>
        <w:t xml:space="preserve">new position paper </w:t>
      </w:r>
      <w:r w:rsidR="00830470">
        <w:t>regarding</w:t>
      </w:r>
      <w:r>
        <w:t xml:space="preserve"> third</w:t>
      </w:r>
      <w:r w:rsidR="00830470">
        <w:t>-</w:t>
      </w:r>
      <w:r>
        <w:t xml:space="preserve">party vendors and remove the </w:t>
      </w:r>
      <w:r w:rsidR="00406833">
        <w:t>American</w:t>
      </w:r>
      <w:r>
        <w:t xml:space="preserve"> </w:t>
      </w:r>
      <w:r w:rsidR="00406833">
        <w:t>F</w:t>
      </w:r>
      <w:r>
        <w:t xml:space="preserve">orces </w:t>
      </w:r>
      <w:r w:rsidR="00406833">
        <w:t>T</w:t>
      </w:r>
      <w:r>
        <w:t>ravel</w:t>
      </w:r>
      <w:r w:rsidR="00406833">
        <w:t xml:space="preserve"> Program</w:t>
      </w:r>
      <w:r>
        <w:t xml:space="preserve"> language from the existing position paper.</w:t>
      </w:r>
    </w:p>
    <w:p w:rsidR="00C210EF" w:rsidRPr="00E73519" w:rsidRDefault="00965E25" w:rsidP="00965E25">
      <w:pPr>
        <w:numPr>
          <w:ilvl w:val="1"/>
          <w:numId w:val="22"/>
        </w:numPr>
      </w:pPr>
      <w:r>
        <w:t>Flexible Spending Plans (PP #30): OSD and Grant Thornton</w:t>
      </w:r>
      <w:r w:rsidR="00830470">
        <w:t xml:space="preserve"> </w:t>
      </w:r>
      <w:r>
        <w:t>will remove recommend</w:t>
      </w:r>
      <w:r w:rsidR="00830470">
        <w:t>ation B from the position paper.</w:t>
      </w:r>
    </w:p>
    <w:p w:rsidR="00C15BB1" w:rsidRPr="00965E25" w:rsidRDefault="00E73519" w:rsidP="00E73519">
      <w:pPr>
        <w:pStyle w:val="ListParagraph"/>
        <w:numPr>
          <w:ilvl w:val="1"/>
          <w:numId w:val="22"/>
        </w:numPr>
        <w:rPr>
          <w:b/>
          <w:u w:val="single"/>
        </w:rPr>
      </w:pPr>
      <w:r>
        <w:t xml:space="preserve">Recycling (PP # 32): </w:t>
      </w:r>
      <w:r w:rsidR="00965E25">
        <w:t xml:space="preserve">OSD and </w:t>
      </w:r>
      <w:r>
        <w:t xml:space="preserve">Grant Thornton will take the </w:t>
      </w:r>
      <w:r w:rsidR="001032C5">
        <w:t>“</w:t>
      </w:r>
      <w:r>
        <w:t>Category A</w:t>
      </w:r>
      <w:r w:rsidR="001032C5">
        <w:t>”</w:t>
      </w:r>
      <w:r>
        <w:t xml:space="preserve"> reference out of the </w:t>
      </w:r>
      <w:r w:rsidR="00830470">
        <w:t>paper</w:t>
      </w:r>
      <w:r>
        <w:t xml:space="preserve">.  </w:t>
      </w:r>
    </w:p>
    <w:p w:rsidR="00965E25" w:rsidRPr="00E73519" w:rsidRDefault="00965E25" w:rsidP="00E73519">
      <w:pPr>
        <w:pStyle w:val="ListParagraph"/>
        <w:numPr>
          <w:ilvl w:val="1"/>
          <w:numId w:val="22"/>
        </w:numPr>
        <w:rPr>
          <w:b/>
          <w:u w:val="single"/>
        </w:rPr>
      </w:pPr>
      <w:r>
        <w:t xml:space="preserve">Stale Checks (PP # 33): </w:t>
      </w:r>
      <w:r w:rsidR="00D50EEC">
        <w:t xml:space="preserve">OSD and Grant Thornton will add verbiage stating the </w:t>
      </w:r>
      <w:r w:rsidR="009B2EA6">
        <w:t>Service</w:t>
      </w:r>
      <w:r w:rsidR="00D50EEC">
        <w:t>s have the authority to implement a more stringent policy than the</w:t>
      </w:r>
      <w:r w:rsidR="00920B6C">
        <w:t xml:space="preserve"> recommended</w:t>
      </w:r>
      <w:r w:rsidR="00D50EEC">
        <w:t xml:space="preserve"> 1</w:t>
      </w:r>
      <w:r w:rsidR="00830470">
        <w:t>-</w:t>
      </w:r>
      <w:r w:rsidR="00D50EEC">
        <w:t>year cutoff date.</w:t>
      </w:r>
    </w:p>
    <w:p w:rsidR="00564829" w:rsidRDefault="00564829" w:rsidP="0098536A">
      <w:pPr>
        <w:pStyle w:val="ListParagraph"/>
        <w:numPr>
          <w:ilvl w:val="0"/>
          <w:numId w:val="18"/>
        </w:numPr>
      </w:pPr>
      <w:r>
        <w:t xml:space="preserve">OSD and Grant Thornton will schedule </w:t>
      </w:r>
      <w:r w:rsidR="00AB404C">
        <w:t>a follow-up meeting with the Marine Corps to discuss:  Capital project Accounting (PP#22) and Revenue from Goods vs Revenue from Services (PP#25).</w:t>
      </w:r>
    </w:p>
    <w:p w:rsidR="00E73519" w:rsidRDefault="00E73519" w:rsidP="0098536A">
      <w:pPr>
        <w:pStyle w:val="ListParagraph"/>
        <w:numPr>
          <w:ilvl w:val="0"/>
          <w:numId w:val="18"/>
        </w:numPr>
      </w:pPr>
      <w:r>
        <w:t xml:space="preserve">The Navy will provide additional feedback regarding the Recycling position paper (PP #32). </w:t>
      </w:r>
    </w:p>
    <w:p w:rsidR="00E73519" w:rsidRPr="00C8730B" w:rsidRDefault="00E73519" w:rsidP="00E73519">
      <w:pPr>
        <w:pStyle w:val="ListParagraph"/>
        <w:numPr>
          <w:ilvl w:val="0"/>
          <w:numId w:val="1"/>
        </w:numPr>
        <w:spacing w:after="160" w:line="259" w:lineRule="auto"/>
      </w:pPr>
      <w:r>
        <w:t xml:space="preserve">The Army will provide additional feedback regarding the Workers’ Compensation position paper (PP #18). </w:t>
      </w:r>
    </w:p>
    <w:sectPr w:rsidR="00E73519" w:rsidRPr="00C8730B" w:rsidSect="00F113B3">
      <w:headerReference w:type="default" r:id="rId8"/>
      <w:footerReference w:type="default" r:id="rId9"/>
      <w:pgSz w:w="12240" w:h="15840" w:code="1"/>
      <w:pgMar w:top="821" w:right="1138" w:bottom="1620" w:left="1985" w:header="864"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369" w:rsidRDefault="006A3369">
      <w:r>
        <w:separator/>
      </w:r>
    </w:p>
  </w:endnote>
  <w:endnote w:type="continuationSeparator" w:id="0">
    <w:p w:rsidR="006A3369" w:rsidRDefault="006A3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037" w:rsidRDefault="00C67552" w:rsidP="007710D2">
    <w:pPr>
      <w:pStyle w:val="Footer"/>
      <w:jc w:val="center"/>
      <w:rPr>
        <w:rFonts w:ascii="Calibri" w:hAnsi="Calibri"/>
        <w:sz w:val="22"/>
      </w:rPr>
    </w:pPr>
    <w:r w:rsidRPr="007710D2">
      <w:rPr>
        <w:rFonts w:ascii="Calibri" w:hAnsi="Calibri"/>
        <w:sz w:val="22"/>
      </w:rPr>
      <w:t xml:space="preserve">Hosted By </w:t>
    </w:r>
    <w:r>
      <w:rPr>
        <w:rFonts w:ascii="Calibri" w:hAnsi="Calibri"/>
        <w:sz w:val="22"/>
      </w:rPr>
      <w:t xml:space="preserve">MWR and Resale </w:t>
    </w:r>
    <w:r w:rsidRPr="007710D2">
      <w:rPr>
        <w:rFonts w:ascii="Calibri" w:hAnsi="Calibri"/>
        <w:sz w:val="22"/>
      </w:rPr>
      <w:t>Policy (Military Community &amp; Family Policy)</w:t>
    </w:r>
  </w:p>
  <w:p w:rsidR="00170037" w:rsidRDefault="00225779">
    <w:pPr>
      <w:pStyle w:val="Footer"/>
      <w:rPr>
        <w:rFonts w:ascii="Calibri" w:hAnsi="Calibri"/>
        <w:sz w:val="22"/>
      </w:rPr>
    </w:pPr>
  </w:p>
  <w:p w:rsidR="00170037" w:rsidRPr="007710D2" w:rsidRDefault="00C67552">
    <w:pPr>
      <w:pStyle w:val="Footer"/>
      <w:rPr>
        <w:rFonts w:ascii="Calibri" w:hAnsi="Calibri"/>
        <w:sz w:val="22"/>
      </w:rPr>
    </w:pPr>
    <w:r>
      <w:rPr>
        <w:noProof/>
        <w:sz w:val="28"/>
      </w:rPr>
      <mc:AlternateContent>
        <mc:Choice Requires="wps">
          <w:drawing>
            <wp:anchor distT="0" distB="0" distL="114300" distR="114300" simplePos="0" relativeHeight="251661312" behindDoc="0" locked="0" layoutInCell="1" allowOverlap="1" wp14:anchorId="4943DE2F" wp14:editId="4BAF9541">
              <wp:simplePos x="0" y="0"/>
              <wp:positionH relativeFrom="margin">
                <wp:align>right</wp:align>
              </wp:positionH>
              <wp:positionV relativeFrom="paragraph">
                <wp:posOffset>37465</wp:posOffset>
              </wp:positionV>
              <wp:extent cx="5753100" cy="9525"/>
              <wp:effectExtent l="19050" t="38100" r="38100" b="47625"/>
              <wp:wrapNone/>
              <wp:docPr id="7" name="Straight Connector 7"/>
              <wp:cNvGraphicFramePr/>
              <a:graphic xmlns:a="http://schemas.openxmlformats.org/drawingml/2006/main">
                <a:graphicData uri="http://schemas.microsoft.com/office/word/2010/wordprocessingShape">
                  <wps:wsp>
                    <wps:cNvCnPr/>
                    <wps:spPr>
                      <a:xfrm>
                        <a:off x="0" y="0"/>
                        <a:ext cx="5753100" cy="9525"/>
                      </a:xfrm>
                      <a:prstGeom prst="line">
                        <a:avLst/>
                      </a:prstGeom>
                      <a:ln w="66675"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3879D67E" id="Straight Connector 7"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1.8pt,2.95pt" to="854.8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" strokecolor="black [3213]" strokeweight="5.25pt">
              <v:stroke linestyle="thickThin" joinstyle="miter"/>
              <w10:wrap anchorx="margin"/>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369" w:rsidRDefault="006A3369">
      <w:r>
        <w:separator/>
      </w:r>
    </w:p>
  </w:footnote>
  <w:footnote w:type="continuationSeparator" w:id="0">
    <w:p w:rsidR="006A3369" w:rsidRDefault="006A33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A49" w:rsidRDefault="001B00C5" w:rsidP="006C4A49">
    <w:pPr>
      <w:jc w:val="center"/>
      <w:rPr>
        <w:b/>
        <w:sz w:val="28"/>
      </w:rPr>
    </w:pPr>
    <w:r w:rsidRPr="001B00C5">
      <w:rPr>
        <w:noProof/>
        <w:sz w:val="28"/>
      </w:rPr>
      <mc:AlternateContent>
        <mc:Choice Requires="wps">
          <w:drawing>
            <wp:anchor distT="0" distB="0" distL="114300" distR="114300" simplePos="0" relativeHeight="251660288" behindDoc="0" locked="0" layoutInCell="1" allowOverlap="1" wp14:anchorId="32D84A74" wp14:editId="2EAD25A0">
              <wp:simplePos x="0" y="0"/>
              <wp:positionH relativeFrom="margin">
                <wp:posOffset>-1905</wp:posOffset>
              </wp:positionH>
              <wp:positionV relativeFrom="paragraph">
                <wp:posOffset>-355600</wp:posOffset>
              </wp:positionV>
              <wp:extent cx="5743575" cy="9525"/>
              <wp:effectExtent l="19050" t="38100" r="47625" b="47625"/>
              <wp:wrapNone/>
              <wp:docPr id="2" name="Straight Connector 2"/>
              <wp:cNvGraphicFramePr/>
              <a:graphic xmlns:a="http://schemas.openxmlformats.org/drawingml/2006/main">
                <a:graphicData uri="http://schemas.microsoft.com/office/word/2010/wordprocessingShape">
                  <wps:wsp>
                    <wps:cNvCnPr/>
                    <wps:spPr>
                      <a:xfrm>
                        <a:off x="0" y="0"/>
                        <a:ext cx="5743575" cy="9525"/>
                      </a:xfrm>
                      <a:prstGeom prst="line">
                        <a:avLst/>
                      </a:prstGeom>
                      <a:ln w="66675"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53670FF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8pt" to="452.1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" strokecolor="black [3213]" strokeweight="5.25pt">
              <v:stroke linestyle="thickThin" joinstyle="miter"/>
              <w10:wrap anchorx="margin"/>
            </v:line>
          </w:pict>
        </mc:Fallback>
      </mc:AlternateContent>
    </w:r>
    <w:r w:rsidRPr="001B00C5">
      <w:rPr>
        <w:noProof/>
        <w:sz w:val="28"/>
      </w:rPr>
      <w:drawing>
        <wp:anchor distT="0" distB="0" distL="114300" distR="114300" simplePos="0" relativeHeight="251662336" behindDoc="1" locked="0" layoutInCell="1" allowOverlap="1" wp14:anchorId="43892AAA" wp14:editId="003696CD">
          <wp:simplePos x="0" y="0"/>
          <wp:positionH relativeFrom="page">
            <wp:posOffset>38100</wp:posOffset>
          </wp:positionH>
          <wp:positionV relativeFrom="paragraph">
            <wp:posOffset>-488950</wp:posOffset>
          </wp:positionV>
          <wp:extent cx="1095375" cy="1095375"/>
          <wp:effectExtent l="0" t="0" r="9525" b="9525"/>
          <wp:wrapTight wrapText="left">
            <wp:wrapPolygon edited="0">
              <wp:start x="0" y="0"/>
              <wp:lineTo x="0" y="21412"/>
              <wp:lineTo x="21412" y="21412"/>
              <wp:lineTo x="21412"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pic:spPr>
              </pic:pic>
            </a:graphicData>
          </a:graphic>
          <wp14:sizeRelH relativeFrom="margin">
            <wp14:pctWidth>0</wp14:pctWidth>
          </wp14:sizeRelH>
          <wp14:sizeRelV relativeFrom="margin">
            <wp14:pctHeight>0</wp14:pctHeight>
          </wp14:sizeRelV>
        </wp:anchor>
      </w:drawing>
    </w:r>
    <w:r>
      <w:rPr>
        <w:b/>
        <w:sz w:val="28"/>
      </w:rPr>
      <w:t>D</w:t>
    </w:r>
    <w:r w:rsidR="006C4A49">
      <w:rPr>
        <w:b/>
        <w:sz w:val="28"/>
      </w:rPr>
      <w:t xml:space="preserve">oD </w:t>
    </w:r>
    <w:r w:rsidR="006C4A49" w:rsidRPr="00091720">
      <w:rPr>
        <w:b/>
        <w:sz w:val="28"/>
      </w:rPr>
      <w:t xml:space="preserve">NAF Accounting Working Group </w:t>
    </w:r>
  </w:p>
  <w:p w:rsidR="006C4A49" w:rsidRPr="00091720" w:rsidRDefault="006C4A49" w:rsidP="006C4A49">
    <w:pPr>
      <w:jc w:val="center"/>
      <w:rPr>
        <w:b/>
        <w:sz w:val="28"/>
      </w:rPr>
    </w:pPr>
    <w:r w:rsidRPr="00091720">
      <w:rPr>
        <w:b/>
        <w:sz w:val="28"/>
      </w:rPr>
      <w:t>Meeting Minutes</w:t>
    </w:r>
  </w:p>
  <w:p w:rsidR="006C4A49" w:rsidRPr="00091720" w:rsidRDefault="006C4A49" w:rsidP="006C4A49">
    <w:pPr>
      <w:jc w:val="center"/>
    </w:pPr>
    <w:r w:rsidRPr="00091720">
      <w:t xml:space="preserve">Thursday, </w:t>
    </w:r>
    <w:r w:rsidR="00722BA9">
      <w:t>December</w:t>
    </w:r>
    <w:r w:rsidR="00D67CD8">
      <w:t xml:space="preserve"> 1</w:t>
    </w:r>
    <w:r w:rsidR="00722BA9">
      <w:t>3</w:t>
    </w:r>
    <w:r>
      <w:t>th, 2018</w:t>
    </w:r>
  </w:p>
  <w:p w:rsidR="006C4A49" w:rsidRPr="00960898" w:rsidRDefault="00D67CD8" w:rsidP="006C4A49">
    <w:pPr>
      <w:jc w:val="center"/>
    </w:pPr>
    <w:r>
      <w:t>0900-100</w:t>
    </w:r>
    <w:r w:rsidR="006C4A49" w:rsidRPr="00091720">
      <w:t>0 EDT</w:t>
    </w:r>
  </w:p>
  <w:p w:rsidR="00A17181" w:rsidRPr="001B00C5" w:rsidRDefault="00A17181" w:rsidP="006C4A49">
    <w:pPr>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47D64DB6"/>
    <w:lvl w:ilvl="0">
      <w:start w:val="1"/>
      <w:numFmt w:val="bullet"/>
      <w:pStyle w:val="ListBullet3"/>
      <w:lvlText w:val=""/>
      <w:lvlJc w:val="left"/>
      <w:pPr>
        <w:tabs>
          <w:tab w:val="num" w:pos="1588"/>
        </w:tabs>
        <w:ind w:left="1588" w:hanging="908"/>
      </w:pPr>
      <w:rPr>
        <w:rFonts w:ascii="Symbol" w:hAnsi="Symbol" w:hint="default"/>
        <w:color w:val="632163"/>
      </w:rPr>
    </w:lvl>
  </w:abstractNum>
  <w:abstractNum w:abstractNumId="1" w15:restartNumberingAfterBreak="0">
    <w:nsid w:val="0E2B3989"/>
    <w:multiLevelType w:val="hybridMultilevel"/>
    <w:tmpl w:val="56686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B4266"/>
    <w:multiLevelType w:val="hybridMultilevel"/>
    <w:tmpl w:val="A86A6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0275B"/>
    <w:multiLevelType w:val="hybridMultilevel"/>
    <w:tmpl w:val="EAA685AE"/>
    <w:lvl w:ilvl="0" w:tplc="C0C0F7BE">
      <w:start w:val="1"/>
      <w:numFmt w:val="bullet"/>
      <w:lvlText w:val=""/>
      <w:lvlJc w:val="left"/>
      <w:pPr>
        <w:ind w:left="810" w:hanging="45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737F72"/>
    <w:multiLevelType w:val="hybridMultilevel"/>
    <w:tmpl w:val="B2029E92"/>
    <w:lvl w:ilvl="0" w:tplc="58D8D944">
      <w:start w:val="1"/>
      <w:numFmt w:val="decimal"/>
      <w:lvlText w:val="%1."/>
      <w:lvlJc w:val="left"/>
      <w:pPr>
        <w:ind w:left="-108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360" w:hanging="180"/>
      </w:pPr>
    </w:lvl>
    <w:lvl w:ilvl="3" w:tplc="0409000F">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5" w15:restartNumberingAfterBreak="0">
    <w:nsid w:val="1B3F6A31"/>
    <w:multiLevelType w:val="hybridMultilevel"/>
    <w:tmpl w:val="5654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AA7148"/>
    <w:multiLevelType w:val="hybridMultilevel"/>
    <w:tmpl w:val="7AD24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6B93D13"/>
    <w:multiLevelType w:val="hybridMultilevel"/>
    <w:tmpl w:val="71E4B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1716FB"/>
    <w:multiLevelType w:val="hybridMultilevel"/>
    <w:tmpl w:val="909A00F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24A523F"/>
    <w:multiLevelType w:val="hybridMultilevel"/>
    <w:tmpl w:val="D7C679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5DF3628"/>
    <w:multiLevelType w:val="hybridMultilevel"/>
    <w:tmpl w:val="AEA443B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6FD2E17"/>
    <w:multiLevelType w:val="hybridMultilevel"/>
    <w:tmpl w:val="44780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5125CC"/>
    <w:multiLevelType w:val="hybridMultilevel"/>
    <w:tmpl w:val="C5CA4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383CCC"/>
    <w:multiLevelType w:val="hybridMultilevel"/>
    <w:tmpl w:val="9EC0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AA4EFB"/>
    <w:multiLevelType w:val="hybridMultilevel"/>
    <w:tmpl w:val="68026E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D47B92"/>
    <w:multiLevelType w:val="hybridMultilevel"/>
    <w:tmpl w:val="C91CB6BC"/>
    <w:lvl w:ilvl="0" w:tplc="D5801938">
      <w:numFmt w:val="bullet"/>
      <w:lvlText w:val="-"/>
      <w:lvlJc w:val="left"/>
      <w:pPr>
        <w:ind w:left="720" w:hanging="360"/>
      </w:pPr>
      <w:rPr>
        <w:rFonts w:ascii="Garamond" w:eastAsia="Times New Roman"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452E55"/>
    <w:multiLevelType w:val="hybridMultilevel"/>
    <w:tmpl w:val="C6C2A9AE"/>
    <w:lvl w:ilvl="0" w:tplc="388826E0">
      <w:start w:val="1"/>
      <w:numFmt w:val="decimal"/>
      <w:lvlText w:val="%1."/>
      <w:lvlJc w:val="left"/>
      <w:pPr>
        <w:ind w:left="-450" w:hanging="360"/>
      </w:pPr>
    </w:lvl>
    <w:lvl w:ilvl="1" w:tplc="04090019">
      <w:start w:val="1"/>
      <w:numFmt w:val="lowerLetter"/>
      <w:lvlText w:val="%2."/>
      <w:lvlJc w:val="left"/>
      <w:pPr>
        <w:ind w:left="270" w:hanging="360"/>
      </w:pPr>
    </w:lvl>
    <w:lvl w:ilvl="2" w:tplc="0409001B">
      <w:start w:val="1"/>
      <w:numFmt w:val="lowerRoman"/>
      <w:lvlText w:val="%3."/>
      <w:lvlJc w:val="right"/>
      <w:pPr>
        <w:ind w:left="990" w:hanging="180"/>
      </w:pPr>
    </w:lvl>
    <w:lvl w:ilvl="3" w:tplc="0409000F">
      <w:start w:val="1"/>
      <w:numFmt w:val="decimal"/>
      <w:lvlText w:val="%4."/>
      <w:lvlJc w:val="left"/>
      <w:pPr>
        <w:ind w:left="1710" w:hanging="360"/>
      </w:pPr>
    </w:lvl>
    <w:lvl w:ilvl="4" w:tplc="04090019">
      <w:start w:val="1"/>
      <w:numFmt w:val="lowerLetter"/>
      <w:lvlText w:val="%5."/>
      <w:lvlJc w:val="left"/>
      <w:pPr>
        <w:ind w:left="2430" w:hanging="360"/>
      </w:pPr>
    </w:lvl>
    <w:lvl w:ilvl="5" w:tplc="0409001B">
      <w:start w:val="1"/>
      <w:numFmt w:val="lowerRoman"/>
      <w:lvlText w:val="%6."/>
      <w:lvlJc w:val="right"/>
      <w:pPr>
        <w:ind w:left="3150" w:hanging="180"/>
      </w:pPr>
    </w:lvl>
    <w:lvl w:ilvl="6" w:tplc="0409000F">
      <w:start w:val="1"/>
      <w:numFmt w:val="decimal"/>
      <w:lvlText w:val="%7."/>
      <w:lvlJc w:val="left"/>
      <w:pPr>
        <w:ind w:left="3870" w:hanging="360"/>
      </w:pPr>
    </w:lvl>
    <w:lvl w:ilvl="7" w:tplc="04090019">
      <w:start w:val="1"/>
      <w:numFmt w:val="lowerLetter"/>
      <w:lvlText w:val="%8."/>
      <w:lvlJc w:val="left"/>
      <w:pPr>
        <w:ind w:left="4590" w:hanging="360"/>
      </w:pPr>
    </w:lvl>
    <w:lvl w:ilvl="8" w:tplc="0409001B">
      <w:start w:val="1"/>
      <w:numFmt w:val="lowerRoman"/>
      <w:lvlText w:val="%9."/>
      <w:lvlJc w:val="right"/>
      <w:pPr>
        <w:ind w:left="5310" w:hanging="180"/>
      </w:pPr>
    </w:lvl>
  </w:abstractNum>
  <w:abstractNum w:abstractNumId="17" w15:restartNumberingAfterBreak="0">
    <w:nsid w:val="65EF42B9"/>
    <w:multiLevelType w:val="hybridMultilevel"/>
    <w:tmpl w:val="EDB4D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4E2573"/>
    <w:multiLevelType w:val="hybridMultilevel"/>
    <w:tmpl w:val="B06C8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9D595E"/>
    <w:multiLevelType w:val="hybridMultilevel"/>
    <w:tmpl w:val="92043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3B539A"/>
    <w:multiLevelType w:val="hybridMultilevel"/>
    <w:tmpl w:val="2812B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5C1A75"/>
    <w:multiLevelType w:val="hybridMultilevel"/>
    <w:tmpl w:val="86CCE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num>
  <w:num w:numId="4">
    <w:abstractNumId w:val="17"/>
  </w:num>
  <w:num w:numId="5">
    <w:abstractNumId w:val="7"/>
  </w:num>
  <w:num w:numId="6">
    <w:abstractNumId w:val="9"/>
  </w:num>
  <w:num w:numId="7">
    <w:abstractNumId w:val="19"/>
  </w:num>
  <w:num w:numId="8">
    <w:abstractNumId w:val="14"/>
  </w:num>
  <w:num w:numId="9">
    <w:abstractNumId w:val="15"/>
  </w:num>
  <w:num w:numId="10">
    <w:abstractNumId w:val="3"/>
  </w:num>
  <w:num w:numId="11">
    <w:abstractNumId w:val="12"/>
  </w:num>
  <w:num w:numId="12">
    <w:abstractNumId w:val="10"/>
  </w:num>
  <w:num w:numId="13">
    <w:abstractNumId w:val="13"/>
  </w:num>
  <w:num w:numId="14">
    <w:abstractNumId w:val="3"/>
  </w:num>
  <w:num w:numId="15">
    <w:abstractNumId w:val="5"/>
  </w:num>
  <w:num w:numId="16">
    <w:abstractNumId w:val="2"/>
  </w:num>
  <w:num w:numId="17">
    <w:abstractNumId w:val="21"/>
  </w:num>
  <w:num w:numId="18">
    <w:abstractNumId w:val="11"/>
  </w:num>
  <w:num w:numId="19">
    <w:abstractNumId w:val="4"/>
  </w:num>
  <w:num w:numId="20">
    <w:abstractNumId w:val="6"/>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0"/>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9E8"/>
    <w:rsid w:val="000004C9"/>
    <w:rsid w:val="00002FE0"/>
    <w:rsid w:val="0001180D"/>
    <w:rsid w:val="00012309"/>
    <w:rsid w:val="00021461"/>
    <w:rsid w:val="00026A3B"/>
    <w:rsid w:val="00026D84"/>
    <w:rsid w:val="00027216"/>
    <w:rsid w:val="0003708A"/>
    <w:rsid w:val="000370A8"/>
    <w:rsid w:val="00043E58"/>
    <w:rsid w:val="000457D0"/>
    <w:rsid w:val="00045963"/>
    <w:rsid w:val="000463DC"/>
    <w:rsid w:val="0004644F"/>
    <w:rsid w:val="00055F07"/>
    <w:rsid w:val="00064ED7"/>
    <w:rsid w:val="00066E59"/>
    <w:rsid w:val="000676A5"/>
    <w:rsid w:val="00072C6A"/>
    <w:rsid w:val="00074052"/>
    <w:rsid w:val="000754D9"/>
    <w:rsid w:val="00077E06"/>
    <w:rsid w:val="00083A47"/>
    <w:rsid w:val="00095B78"/>
    <w:rsid w:val="000971AC"/>
    <w:rsid w:val="000A0E23"/>
    <w:rsid w:val="000A4F8A"/>
    <w:rsid w:val="000B60F6"/>
    <w:rsid w:val="000C4C07"/>
    <w:rsid w:val="000D0BE6"/>
    <w:rsid w:val="000D2EF0"/>
    <w:rsid w:val="000D3CC8"/>
    <w:rsid w:val="000D4317"/>
    <w:rsid w:val="000D4686"/>
    <w:rsid w:val="000D48C4"/>
    <w:rsid w:val="000D79CA"/>
    <w:rsid w:val="000D7ED3"/>
    <w:rsid w:val="000D7F0D"/>
    <w:rsid w:val="000E38D6"/>
    <w:rsid w:val="000F05FD"/>
    <w:rsid w:val="000F307D"/>
    <w:rsid w:val="000F670D"/>
    <w:rsid w:val="001032C5"/>
    <w:rsid w:val="00114A1C"/>
    <w:rsid w:val="00120471"/>
    <w:rsid w:val="00120EF3"/>
    <w:rsid w:val="00127EF6"/>
    <w:rsid w:val="001335D8"/>
    <w:rsid w:val="00134DB3"/>
    <w:rsid w:val="00134E9F"/>
    <w:rsid w:val="0014151F"/>
    <w:rsid w:val="0014290F"/>
    <w:rsid w:val="00142E4F"/>
    <w:rsid w:val="00146448"/>
    <w:rsid w:val="0014724A"/>
    <w:rsid w:val="00164A24"/>
    <w:rsid w:val="00172B51"/>
    <w:rsid w:val="001842B1"/>
    <w:rsid w:val="00190290"/>
    <w:rsid w:val="00190C0A"/>
    <w:rsid w:val="00191957"/>
    <w:rsid w:val="001943F4"/>
    <w:rsid w:val="001946A0"/>
    <w:rsid w:val="00196206"/>
    <w:rsid w:val="001A2A44"/>
    <w:rsid w:val="001A640F"/>
    <w:rsid w:val="001B00C5"/>
    <w:rsid w:val="001B13B5"/>
    <w:rsid w:val="001B3C08"/>
    <w:rsid w:val="001B622E"/>
    <w:rsid w:val="001D54B3"/>
    <w:rsid w:val="001E6DE3"/>
    <w:rsid w:val="001F4C0F"/>
    <w:rsid w:val="001F6496"/>
    <w:rsid w:val="001F66BE"/>
    <w:rsid w:val="001F7F75"/>
    <w:rsid w:val="0020150A"/>
    <w:rsid w:val="0020164D"/>
    <w:rsid w:val="002021AC"/>
    <w:rsid w:val="002038D5"/>
    <w:rsid w:val="00204501"/>
    <w:rsid w:val="002068BC"/>
    <w:rsid w:val="00206B4E"/>
    <w:rsid w:val="00210B22"/>
    <w:rsid w:val="002158AA"/>
    <w:rsid w:val="00224C5E"/>
    <w:rsid w:val="00225779"/>
    <w:rsid w:val="0022782D"/>
    <w:rsid w:val="00227F69"/>
    <w:rsid w:val="00231FC8"/>
    <w:rsid w:val="00234906"/>
    <w:rsid w:val="00243878"/>
    <w:rsid w:val="00243A77"/>
    <w:rsid w:val="00243E1B"/>
    <w:rsid w:val="00252E14"/>
    <w:rsid w:val="0025465F"/>
    <w:rsid w:val="002602A2"/>
    <w:rsid w:val="002718A7"/>
    <w:rsid w:val="002744C4"/>
    <w:rsid w:val="00280073"/>
    <w:rsid w:val="0028025A"/>
    <w:rsid w:val="00280853"/>
    <w:rsid w:val="00286F41"/>
    <w:rsid w:val="002879A9"/>
    <w:rsid w:val="002A05CB"/>
    <w:rsid w:val="002A21C8"/>
    <w:rsid w:val="002B1A8D"/>
    <w:rsid w:val="002B3F7D"/>
    <w:rsid w:val="002C2F22"/>
    <w:rsid w:val="002C529C"/>
    <w:rsid w:val="002D1D3C"/>
    <w:rsid w:val="002D2A37"/>
    <w:rsid w:val="002D69C1"/>
    <w:rsid w:val="002E76D9"/>
    <w:rsid w:val="002F620A"/>
    <w:rsid w:val="0030657B"/>
    <w:rsid w:val="0031019E"/>
    <w:rsid w:val="0031230A"/>
    <w:rsid w:val="00324847"/>
    <w:rsid w:val="003358B9"/>
    <w:rsid w:val="003445A0"/>
    <w:rsid w:val="003505E5"/>
    <w:rsid w:val="003516F4"/>
    <w:rsid w:val="0036482D"/>
    <w:rsid w:val="00375753"/>
    <w:rsid w:val="00375E14"/>
    <w:rsid w:val="00397822"/>
    <w:rsid w:val="003A299C"/>
    <w:rsid w:val="003A3851"/>
    <w:rsid w:val="003A437E"/>
    <w:rsid w:val="003A5802"/>
    <w:rsid w:val="003B5FC1"/>
    <w:rsid w:val="003C210D"/>
    <w:rsid w:val="003C43DE"/>
    <w:rsid w:val="003C4885"/>
    <w:rsid w:val="003C5AE4"/>
    <w:rsid w:val="003D05B9"/>
    <w:rsid w:val="003D7BAF"/>
    <w:rsid w:val="003E4441"/>
    <w:rsid w:val="003E5589"/>
    <w:rsid w:val="003E7278"/>
    <w:rsid w:val="003F00C8"/>
    <w:rsid w:val="003F5500"/>
    <w:rsid w:val="003F63B4"/>
    <w:rsid w:val="00403F2B"/>
    <w:rsid w:val="00405A94"/>
    <w:rsid w:val="00406833"/>
    <w:rsid w:val="00407DD2"/>
    <w:rsid w:val="00412406"/>
    <w:rsid w:val="00413B31"/>
    <w:rsid w:val="004177D5"/>
    <w:rsid w:val="00421F54"/>
    <w:rsid w:val="0043229A"/>
    <w:rsid w:val="00435ECE"/>
    <w:rsid w:val="004472EC"/>
    <w:rsid w:val="004510CA"/>
    <w:rsid w:val="00460D89"/>
    <w:rsid w:val="004654B7"/>
    <w:rsid w:val="004675F6"/>
    <w:rsid w:val="00471687"/>
    <w:rsid w:val="00473A0E"/>
    <w:rsid w:val="00473CA6"/>
    <w:rsid w:val="004760FF"/>
    <w:rsid w:val="00487A12"/>
    <w:rsid w:val="0049010A"/>
    <w:rsid w:val="004A233F"/>
    <w:rsid w:val="004A2BB5"/>
    <w:rsid w:val="004B0F61"/>
    <w:rsid w:val="004E6522"/>
    <w:rsid w:val="004E707A"/>
    <w:rsid w:val="004F0206"/>
    <w:rsid w:val="004F0BE4"/>
    <w:rsid w:val="004F3044"/>
    <w:rsid w:val="0050174F"/>
    <w:rsid w:val="005021B2"/>
    <w:rsid w:val="00507C05"/>
    <w:rsid w:val="0051210F"/>
    <w:rsid w:val="00515595"/>
    <w:rsid w:val="00524211"/>
    <w:rsid w:val="00524DD4"/>
    <w:rsid w:val="00526578"/>
    <w:rsid w:val="00544EAE"/>
    <w:rsid w:val="005469CA"/>
    <w:rsid w:val="00551A00"/>
    <w:rsid w:val="005573C6"/>
    <w:rsid w:val="00563582"/>
    <w:rsid w:val="00564829"/>
    <w:rsid w:val="00567D6B"/>
    <w:rsid w:val="005813A6"/>
    <w:rsid w:val="00582378"/>
    <w:rsid w:val="00583E6C"/>
    <w:rsid w:val="00586B91"/>
    <w:rsid w:val="00590389"/>
    <w:rsid w:val="005A132E"/>
    <w:rsid w:val="005B2ED1"/>
    <w:rsid w:val="005D6007"/>
    <w:rsid w:val="005D72E4"/>
    <w:rsid w:val="005F095A"/>
    <w:rsid w:val="005F303D"/>
    <w:rsid w:val="005F39E8"/>
    <w:rsid w:val="005F5759"/>
    <w:rsid w:val="005F7C1E"/>
    <w:rsid w:val="005F7E48"/>
    <w:rsid w:val="006057E9"/>
    <w:rsid w:val="00606A26"/>
    <w:rsid w:val="0062172B"/>
    <w:rsid w:val="00623C3D"/>
    <w:rsid w:val="0063005B"/>
    <w:rsid w:val="00631DF7"/>
    <w:rsid w:val="006357AC"/>
    <w:rsid w:val="00641F3A"/>
    <w:rsid w:val="00644420"/>
    <w:rsid w:val="00651E87"/>
    <w:rsid w:val="00653AFA"/>
    <w:rsid w:val="006571B8"/>
    <w:rsid w:val="00657990"/>
    <w:rsid w:val="00662CB3"/>
    <w:rsid w:val="006674A3"/>
    <w:rsid w:val="00673A1E"/>
    <w:rsid w:val="00684832"/>
    <w:rsid w:val="006849BF"/>
    <w:rsid w:val="00685306"/>
    <w:rsid w:val="00687007"/>
    <w:rsid w:val="006907EE"/>
    <w:rsid w:val="006913B0"/>
    <w:rsid w:val="006A3369"/>
    <w:rsid w:val="006B0202"/>
    <w:rsid w:val="006B7839"/>
    <w:rsid w:val="006C4A49"/>
    <w:rsid w:val="006D0494"/>
    <w:rsid w:val="006D1886"/>
    <w:rsid w:val="006D5D5A"/>
    <w:rsid w:val="006D6FF3"/>
    <w:rsid w:val="006E08DC"/>
    <w:rsid w:val="006E548D"/>
    <w:rsid w:val="00716E40"/>
    <w:rsid w:val="00717F84"/>
    <w:rsid w:val="00721265"/>
    <w:rsid w:val="00722BA9"/>
    <w:rsid w:val="00725D4E"/>
    <w:rsid w:val="0072628E"/>
    <w:rsid w:val="00747C29"/>
    <w:rsid w:val="00751A00"/>
    <w:rsid w:val="00752F8B"/>
    <w:rsid w:val="00762ABB"/>
    <w:rsid w:val="00772EBC"/>
    <w:rsid w:val="00775CA7"/>
    <w:rsid w:val="00777AF3"/>
    <w:rsid w:val="0078151E"/>
    <w:rsid w:val="00784934"/>
    <w:rsid w:val="007900B6"/>
    <w:rsid w:val="007A1AE2"/>
    <w:rsid w:val="007B245D"/>
    <w:rsid w:val="007B4433"/>
    <w:rsid w:val="007B69DB"/>
    <w:rsid w:val="007C15ED"/>
    <w:rsid w:val="007C2BAC"/>
    <w:rsid w:val="007D0F6E"/>
    <w:rsid w:val="007D480B"/>
    <w:rsid w:val="007D5635"/>
    <w:rsid w:val="007D7EB2"/>
    <w:rsid w:val="007E0F59"/>
    <w:rsid w:val="007E2459"/>
    <w:rsid w:val="007F0F90"/>
    <w:rsid w:val="007F2F64"/>
    <w:rsid w:val="00802A93"/>
    <w:rsid w:val="00811105"/>
    <w:rsid w:val="00820571"/>
    <w:rsid w:val="00822967"/>
    <w:rsid w:val="00824367"/>
    <w:rsid w:val="00824C06"/>
    <w:rsid w:val="00830470"/>
    <w:rsid w:val="00832F05"/>
    <w:rsid w:val="0083317D"/>
    <w:rsid w:val="00833591"/>
    <w:rsid w:val="00851DC0"/>
    <w:rsid w:val="00855FEF"/>
    <w:rsid w:val="00857998"/>
    <w:rsid w:val="00861BDD"/>
    <w:rsid w:val="00870ADF"/>
    <w:rsid w:val="00880A9D"/>
    <w:rsid w:val="00880F28"/>
    <w:rsid w:val="008812C5"/>
    <w:rsid w:val="008869D6"/>
    <w:rsid w:val="00886C52"/>
    <w:rsid w:val="0089518B"/>
    <w:rsid w:val="00896BF6"/>
    <w:rsid w:val="00897193"/>
    <w:rsid w:val="008A26AD"/>
    <w:rsid w:val="008B6CCA"/>
    <w:rsid w:val="008C42AB"/>
    <w:rsid w:val="008C7A40"/>
    <w:rsid w:val="008D3B49"/>
    <w:rsid w:val="008D51F8"/>
    <w:rsid w:val="008D6FD2"/>
    <w:rsid w:val="008E2BF5"/>
    <w:rsid w:val="008E6FFD"/>
    <w:rsid w:val="008E7621"/>
    <w:rsid w:val="00904459"/>
    <w:rsid w:val="00916BE0"/>
    <w:rsid w:val="00920B6C"/>
    <w:rsid w:val="009304A7"/>
    <w:rsid w:val="0093229C"/>
    <w:rsid w:val="00933360"/>
    <w:rsid w:val="00936B20"/>
    <w:rsid w:val="00942B0E"/>
    <w:rsid w:val="00952368"/>
    <w:rsid w:val="009533A8"/>
    <w:rsid w:val="00965E25"/>
    <w:rsid w:val="00971B2C"/>
    <w:rsid w:val="00977273"/>
    <w:rsid w:val="00977FFB"/>
    <w:rsid w:val="00984BD7"/>
    <w:rsid w:val="0098536A"/>
    <w:rsid w:val="009854D1"/>
    <w:rsid w:val="009868EE"/>
    <w:rsid w:val="00986A5E"/>
    <w:rsid w:val="00994E58"/>
    <w:rsid w:val="009B18D9"/>
    <w:rsid w:val="009B2EA6"/>
    <w:rsid w:val="009C3E51"/>
    <w:rsid w:val="009D1D52"/>
    <w:rsid w:val="009D457F"/>
    <w:rsid w:val="009E08EA"/>
    <w:rsid w:val="009F32CB"/>
    <w:rsid w:val="00A14F85"/>
    <w:rsid w:val="00A16BC4"/>
    <w:rsid w:val="00A17094"/>
    <w:rsid w:val="00A17181"/>
    <w:rsid w:val="00A34878"/>
    <w:rsid w:val="00A40246"/>
    <w:rsid w:val="00A419D8"/>
    <w:rsid w:val="00A44C2F"/>
    <w:rsid w:val="00A44ED0"/>
    <w:rsid w:val="00A459FC"/>
    <w:rsid w:val="00A55939"/>
    <w:rsid w:val="00A5770C"/>
    <w:rsid w:val="00A7026F"/>
    <w:rsid w:val="00A717AC"/>
    <w:rsid w:val="00A72C91"/>
    <w:rsid w:val="00A74D9A"/>
    <w:rsid w:val="00A800FF"/>
    <w:rsid w:val="00A866B0"/>
    <w:rsid w:val="00A8793A"/>
    <w:rsid w:val="00A95DBF"/>
    <w:rsid w:val="00A96226"/>
    <w:rsid w:val="00AA08D2"/>
    <w:rsid w:val="00AA5083"/>
    <w:rsid w:val="00AA7572"/>
    <w:rsid w:val="00AA79FE"/>
    <w:rsid w:val="00AB3AC1"/>
    <w:rsid w:val="00AB404C"/>
    <w:rsid w:val="00AD2BD3"/>
    <w:rsid w:val="00AD2FAC"/>
    <w:rsid w:val="00AD5B37"/>
    <w:rsid w:val="00AE0124"/>
    <w:rsid w:val="00AE4E0F"/>
    <w:rsid w:val="00AF0423"/>
    <w:rsid w:val="00AF56DE"/>
    <w:rsid w:val="00B0549E"/>
    <w:rsid w:val="00B07A48"/>
    <w:rsid w:val="00B131A3"/>
    <w:rsid w:val="00B20FCB"/>
    <w:rsid w:val="00B233DE"/>
    <w:rsid w:val="00B34A02"/>
    <w:rsid w:val="00B44F95"/>
    <w:rsid w:val="00B54C9F"/>
    <w:rsid w:val="00B629AB"/>
    <w:rsid w:val="00B63E27"/>
    <w:rsid w:val="00B6621A"/>
    <w:rsid w:val="00B76B42"/>
    <w:rsid w:val="00B86EF8"/>
    <w:rsid w:val="00B902CA"/>
    <w:rsid w:val="00BA0D60"/>
    <w:rsid w:val="00BA25C2"/>
    <w:rsid w:val="00BA63E5"/>
    <w:rsid w:val="00BB61C4"/>
    <w:rsid w:val="00BC0013"/>
    <w:rsid w:val="00BC0C82"/>
    <w:rsid w:val="00BC3BDA"/>
    <w:rsid w:val="00BC4B10"/>
    <w:rsid w:val="00BD3BA2"/>
    <w:rsid w:val="00BE1B49"/>
    <w:rsid w:val="00BE209B"/>
    <w:rsid w:val="00BF0D42"/>
    <w:rsid w:val="00BF2263"/>
    <w:rsid w:val="00C065CF"/>
    <w:rsid w:val="00C07EF9"/>
    <w:rsid w:val="00C149D0"/>
    <w:rsid w:val="00C15BB1"/>
    <w:rsid w:val="00C210EF"/>
    <w:rsid w:val="00C227CC"/>
    <w:rsid w:val="00C2653E"/>
    <w:rsid w:val="00C33BE9"/>
    <w:rsid w:val="00C405F0"/>
    <w:rsid w:val="00C42D83"/>
    <w:rsid w:val="00C516B7"/>
    <w:rsid w:val="00C53B7D"/>
    <w:rsid w:val="00C5527C"/>
    <w:rsid w:val="00C5781A"/>
    <w:rsid w:val="00C61C7B"/>
    <w:rsid w:val="00C634A2"/>
    <w:rsid w:val="00C634F1"/>
    <w:rsid w:val="00C64AA3"/>
    <w:rsid w:val="00C67552"/>
    <w:rsid w:val="00C736C7"/>
    <w:rsid w:val="00C760B1"/>
    <w:rsid w:val="00C80C62"/>
    <w:rsid w:val="00C82148"/>
    <w:rsid w:val="00C8730B"/>
    <w:rsid w:val="00C922D7"/>
    <w:rsid w:val="00C96F20"/>
    <w:rsid w:val="00C97677"/>
    <w:rsid w:val="00C978ED"/>
    <w:rsid w:val="00CA5056"/>
    <w:rsid w:val="00CA7559"/>
    <w:rsid w:val="00CB17CB"/>
    <w:rsid w:val="00CC3125"/>
    <w:rsid w:val="00CC47F2"/>
    <w:rsid w:val="00CC51BE"/>
    <w:rsid w:val="00CC6082"/>
    <w:rsid w:val="00CC6E12"/>
    <w:rsid w:val="00CD18AE"/>
    <w:rsid w:val="00CD2CD0"/>
    <w:rsid w:val="00CD5E07"/>
    <w:rsid w:val="00CD6666"/>
    <w:rsid w:val="00CD6AE1"/>
    <w:rsid w:val="00CE48C2"/>
    <w:rsid w:val="00CF097C"/>
    <w:rsid w:val="00CF0C24"/>
    <w:rsid w:val="00CF5B84"/>
    <w:rsid w:val="00CF7544"/>
    <w:rsid w:val="00D2391E"/>
    <w:rsid w:val="00D24FFD"/>
    <w:rsid w:val="00D2606B"/>
    <w:rsid w:val="00D2761B"/>
    <w:rsid w:val="00D31017"/>
    <w:rsid w:val="00D32C76"/>
    <w:rsid w:val="00D42435"/>
    <w:rsid w:val="00D4592C"/>
    <w:rsid w:val="00D50EEC"/>
    <w:rsid w:val="00D50F2B"/>
    <w:rsid w:val="00D51585"/>
    <w:rsid w:val="00D6453A"/>
    <w:rsid w:val="00D67CD8"/>
    <w:rsid w:val="00D67F23"/>
    <w:rsid w:val="00D72E35"/>
    <w:rsid w:val="00D73545"/>
    <w:rsid w:val="00D76BFA"/>
    <w:rsid w:val="00D90242"/>
    <w:rsid w:val="00D921A4"/>
    <w:rsid w:val="00D94398"/>
    <w:rsid w:val="00D957F3"/>
    <w:rsid w:val="00D9618F"/>
    <w:rsid w:val="00D97B0E"/>
    <w:rsid w:val="00D97EBC"/>
    <w:rsid w:val="00DB0375"/>
    <w:rsid w:val="00DB4B07"/>
    <w:rsid w:val="00DB5B75"/>
    <w:rsid w:val="00DB658B"/>
    <w:rsid w:val="00DC257D"/>
    <w:rsid w:val="00DC3BAB"/>
    <w:rsid w:val="00DC5A6E"/>
    <w:rsid w:val="00DC5DC7"/>
    <w:rsid w:val="00DC74D8"/>
    <w:rsid w:val="00DD1E10"/>
    <w:rsid w:val="00DD525F"/>
    <w:rsid w:val="00DD588A"/>
    <w:rsid w:val="00DD64FF"/>
    <w:rsid w:val="00DE2571"/>
    <w:rsid w:val="00DE6845"/>
    <w:rsid w:val="00DF51B3"/>
    <w:rsid w:val="00DF71CF"/>
    <w:rsid w:val="00E0013C"/>
    <w:rsid w:val="00E20265"/>
    <w:rsid w:val="00E25581"/>
    <w:rsid w:val="00E26922"/>
    <w:rsid w:val="00E30C59"/>
    <w:rsid w:val="00E312FB"/>
    <w:rsid w:val="00E36C24"/>
    <w:rsid w:val="00E371C7"/>
    <w:rsid w:val="00E52208"/>
    <w:rsid w:val="00E52637"/>
    <w:rsid w:val="00E60524"/>
    <w:rsid w:val="00E62335"/>
    <w:rsid w:val="00E649CE"/>
    <w:rsid w:val="00E65179"/>
    <w:rsid w:val="00E6530C"/>
    <w:rsid w:val="00E71713"/>
    <w:rsid w:val="00E73519"/>
    <w:rsid w:val="00E8284F"/>
    <w:rsid w:val="00E83A4F"/>
    <w:rsid w:val="00E83ACB"/>
    <w:rsid w:val="00E860D9"/>
    <w:rsid w:val="00E87380"/>
    <w:rsid w:val="00EA5EB8"/>
    <w:rsid w:val="00EB0C39"/>
    <w:rsid w:val="00EB6588"/>
    <w:rsid w:val="00EB7F08"/>
    <w:rsid w:val="00EC5DD0"/>
    <w:rsid w:val="00EC6309"/>
    <w:rsid w:val="00ED1300"/>
    <w:rsid w:val="00EE22A9"/>
    <w:rsid w:val="00EE2FFD"/>
    <w:rsid w:val="00EE55D4"/>
    <w:rsid w:val="00EE5A64"/>
    <w:rsid w:val="00F01C71"/>
    <w:rsid w:val="00F01E62"/>
    <w:rsid w:val="00F01F53"/>
    <w:rsid w:val="00F026ED"/>
    <w:rsid w:val="00F075EB"/>
    <w:rsid w:val="00F14660"/>
    <w:rsid w:val="00F2584B"/>
    <w:rsid w:val="00F25CEA"/>
    <w:rsid w:val="00F26008"/>
    <w:rsid w:val="00F3301E"/>
    <w:rsid w:val="00F41616"/>
    <w:rsid w:val="00F46387"/>
    <w:rsid w:val="00F536B7"/>
    <w:rsid w:val="00F54839"/>
    <w:rsid w:val="00F63DD5"/>
    <w:rsid w:val="00F641FE"/>
    <w:rsid w:val="00F70A6C"/>
    <w:rsid w:val="00F74D53"/>
    <w:rsid w:val="00F80518"/>
    <w:rsid w:val="00F91C39"/>
    <w:rsid w:val="00FA093B"/>
    <w:rsid w:val="00FB37E2"/>
    <w:rsid w:val="00FB4D2A"/>
    <w:rsid w:val="00FC3F30"/>
    <w:rsid w:val="00FC5C2C"/>
    <w:rsid w:val="00FC5C79"/>
    <w:rsid w:val="00FD1057"/>
    <w:rsid w:val="00FE04AB"/>
    <w:rsid w:val="00FE5485"/>
    <w:rsid w:val="00FE5C62"/>
    <w:rsid w:val="00FF03C3"/>
    <w:rsid w:val="00FF6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D8A261BA-4E6E-4256-91B3-BE3FFF6D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9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5F39E8"/>
    <w:pPr>
      <w:tabs>
        <w:tab w:val="right" w:pos="8562"/>
      </w:tabs>
      <w:spacing w:after="0" w:line="240" w:lineRule="auto"/>
    </w:pPr>
    <w:rPr>
      <w:rFonts w:ascii="Arial" w:eastAsia="Times New Roman" w:hAnsi="Arial" w:cs="Arial"/>
      <w:b/>
      <w:color w:val="747678"/>
      <w:sz w:val="16"/>
      <w:szCs w:val="20"/>
    </w:rPr>
  </w:style>
  <w:style w:type="character" w:customStyle="1" w:styleId="HeaderChar">
    <w:name w:val="Header Char"/>
    <w:basedOn w:val="DefaultParagraphFont"/>
    <w:link w:val="Header"/>
    <w:rsid w:val="005F39E8"/>
    <w:rPr>
      <w:rFonts w:ascii="Arial" w:eastAsia="Times New Roman" w:hAnsi="Arial" w:cs="Arial"/>
      <w:b/>
      <w:color w:val="747678"/>
      <w:sz w:val="16"/>
      <w:szCs w:val="20"/>
    </w:rPr>
  </w:style>
  <w:style w:type="paragraph" w:styleId="Footer">
    <w:name w:val="footer"/>
    <w:link w:val="FooterChar"/>
    <w:rsid w:val="005F39E8"/>
    <w:pPr>
      <w:tabs>
        <w:tab w:val="center" w:pos="4153"/>
        <w:tab w:val="right" w:pos="8306"/>
      </w:tabs>
      <w:spacing w:after="0" w:line="240" w:lineRule="auto"/>
    </w:pPr>
    <w:rPr>
      <w:rFonts w:ascii="Arial" w:eastAsia="Times New Roman" w:hAnsi="Arial" w:cs="Arial"/>
      <w:b/>
      <w:color w:val="747678"/>
      <w:sz w:val="13"/>
      <w:szCs w:val="20"/>
    </w:rPr>
  </w:style>
  <w:style w:type="character" w:customStyle="1" w:styleId="FooterChar">
    <w:name w:val="Footer Char"/>
    <w:basedOn w:val="DefaultParagraphFont"/>
    <w:link w:val="Footer"/>
    <w:rsid w:val="005F39E8"/>
    <w:rPr>
      <w:rFonts w:ascii="Arial" w:eastAsia="Times New Roman" w:hAnsi="Arial" w:cs="Arial"/>
      <w:b/>
      <w:color w:val="747678"/>
      <w:sz w:val="13"/>
      <w:szCs w:val="20"/>
    </w:rPr>
  </w:style>
  <w:style w:type="paragraph" w:styleId="ListParagraph">
    <w:name w:val="List Paragraph"/>
    <w:basedOn w:val="Normal"/>
    <w:uiPriority w:val="34"/>
    <w:qFormat/>
    <w:rsid w:val="005F39E8"/>
    <w:pPr>
      <w:ind w:left="720"/>
      <w:contextualSpacing/>
    </w:pPr>
  </w:style>
  <w:style w:type="table" w:styleId="TableGrid">
    <w:name w:val="Table Grid"/>
    <w:basedOn w:val="TableNormal"/>
    <w:uiPriority w:val="39"/>
    <w:rsid w:val="00606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5B37"/>
    <w:rPr>
      <w:sz w:val="16"/>
      <w:szCs w:val="16"/>
    </w:rPr>
  </w:style>
  <w:style w:type="paragraph" w:styleId="CommentText">
    <w:name w:val="annotation text"/>
    <w:basedOn w:val="Normal"/>
    <w:link w:val="CommentTextChar"/>
    <w:uiPriority w:val="99"/>
    <w:semiHidden/>
    <w:unhideWhenUsed/>
    <w:rsid w:val="00AD5B37"/>
    <w:rPr>
      <w:sz w:val="20"/>
      <w:szCs w:val="20"/>
    </w:rPr>
  </w:style>
  <w:style w:type="character" w:customStyle="1" w:styleId="CommentTextChar">
    <w:name w:val="Comment Text Char"/>
    <w:basedOn w:val="DefaultParagraphFont"/>
    <w:link w:val="CommentText"/>
    <w:uiPriority w:val="99"/>
    <w:semiHidden/>
    <w:rsid w:val="00AD5B3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D5B37"/>
    <w:rPr>
      <w:b/>
      <w:bCs/>
    </w:rPr>
  </w:style>
  <w:style w:type="character" w:customStyle="1" w:styleId="CommentSubjectChar">
    <w:name w:val="Comment Subject Char"/>
    <w:basedOn w:val="CommentTextChar"/>
    <w:link w:val="CommentSubject"/>
    <w:uiPriority w:val="99"/>
    <w:semiHidden/>
    <w:rsid w:val="00AD5B3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D5B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B37"/>
    <w:rPr>
      <w:rFonts w:ascii="Segoe UI" w:eastAsia="Times New Roman" w:hAnsi="Segoe UI" w:cs="Segoe UI"/>
      <w:sz w:val="18"/>
      <w:szCs w:val="18"/>
    </w:rPr>
  </w:style>
  <w:style w:type="paragraph" w:styleId="Title">
    <w:name w:val="Title"/>
    <w:basedOn w:val="Normal"/>
    <w:next w:val="Normal"/>
    <w:link w:val="TitleChar"/>
    <w:qFormat/>
    <w:rsid w:val="00551A0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1A00"/>
    <w:rPr>
      <w:rFonts w:asciiTheme="majorHAnsi" w:eastAsiaTheme="majorEastAsia" w:hAnsiTheme="majorHAnsi" w:cstheme="majorBidi"/>
      <w:spacing w:val="-10"/>
      <w:kern w:val="28"/>
      <w:sz w:val="56"/>
      <w:szCs w:val="56"/>
    </w:rPr>
  </w:style>
  <w:style w:type="paragraph" w:styleId="ListBullet3">
    <w:name w:val="List Bullet 3"/>
    <w:basedOn w:val="Normal"/>
    <w:rsid w:val="00551A00"/>
    <w:pPr>
      <w:numPr>
        <w:numId w:val="23"/>
      </w:numPr>
      <w:contextualSpacing/>
    </w:pPr>
    <w:rPr>
      <w:rFonts w:ascii="Garamond" w:hAnsi="Garamond"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677922">
      <w:bodyDiv w:val="1"/>
      <w:marLeft w:val="0"/>
      <w:marRight w:val="0"/>
      <w:marTop w:val="0"/>
      <w:marBottom w:val="0"/>
      <w:divBdr>
        <w:top w:val="none" w:sz="0" w:space="0" w:color="auto"/>
        <w:left w:val="none" w:sz="0" w:space="0" w:color="auto"/>
        <w:bottom w:val="none" w:sz="0" w:space="0" w:color="auto"/>
        <w:right w:val="none" w:sz="0" w:space="0" w:color="auto"/>
      </w:divBdr>
    </w:div>
    <w:div w:id="391275976">
      <w:bodyDiv w:val="1"/>
      <w:marLeft w:val="0"/>
      <w:marRight w:val="0"/>
      <w:marTop w:val="0"/>
      <w:marBottom w:val="0"/>
      <w:divBdr>
        <w:top w:val="none" w:sz="0" w:space="0" w:color="auto"/>
        <w:left w:val="none" w:sz="0" w:space="0" w:color="auto"/>
        <w:bottom w:val="none" w:sz="0" w:space="0" w:color="auto"/>
        <w:right w:val="none" w:sz="0" w:space="0" w:color="auto"/>
      </w:divBdr>
    </w:div>
    <w:div w:id="775252994">
      <w:bodyDiv w:val="1"/>
      <w:marLeft w:val="0"/>
      <w:marRight w:val="0"/>
      <w:marTop w:val="0"/>
      <w:marBottom w:val="0"/>
      <w:divBdr>
        <w:top w:val="none" w:sz="0" w:space="0" w:color="auto"/>
        <w:left w:val="none" w:sz="0" w:space="0" w:color="auto"/>
        <w:bottom w:val="none" w:sz="0" w:space="0" w:color="auto"/>
        <w:right w:val="none" w:sz="0" w:space="0" w:color="auto"/>
      </w:divBdr>
    </w:div>
    <w:div w:id="993335966">
      <w:bodyDiv w:val="1"/>
      <w:marLeft w:val="0"/>
      <w:marRight w:val="0"/>
      <w:marTop w:val="0"/>
      <w:marBottom w:val="0"/>
      <w:divBdr>
        <w:top w:val="none" w:sz="0" w:space="0" w:color="auto"/>
        <w:left w:val="none" w:sz="0" w:space="0" w:color="auto"/>
        <w:bottom w:val="none" w:sz="0" w:space="0" w:color="auto"/>
        <w:right w:val="none" w:sz="0" w:space="0" w:color="auto"/>
      </w:divBdr>
    </w:div>
    <w:div w:id="1557007127">
      <w:bodyDiv w:val="1"/>
      <w:marLeft w:val="0"/>
      <w:marRight w:val="0"/>
      <w:marTop w:val="0"/>
      <w:marBottom w:val="0"/>
      <w:divBdr>
        <w:top w:val="none" w:sz="0" w:space="0" w:color="auto"/>
        <w:left w:val="none" w:sz="0" w:space="0" w:color="auto"/>
        <w:bottom w:val="none" w:sz="0" w:space="0" w:color="auto"/>
        <w:right w:val="none" w:sz="0" w:space="0" w:color="auto"/>
      </w:divBdr>
    </w:div>
    <w:div w:id="1563979799">
      <w:bodyDiv w:val="1"/>
      <w:marLeft w:val="0"/>
      <w:marRight w:val="0"/>
      <w:marTop w:val="0"/>
      <w:marBottom w:val="0"/>
      <w:divBdr>
        <w:top w:val="none" w:sz="0" w:space="0" w:color="auto"/>
        <w:left w:val="none" w:sz="0" w:space="0" w:color="auto"/>
        <w:bottom w:val="none" w:sz="0" w:space="0" w:color="auto"/>
        <w:right w:val="none" w:sz="0" w:space="0" w:color="auto"/>
      </w:divBdr>
    </w:div>
    <w:div w:id="172571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9A08A9FCA28CC44BD8AC3EA2F2FFBC6" ma:contentTypeVersion="3" ma:contentTypeDescription="Create a new document." ma:contentTypeScope="" ma:versionID="a75a9374bd4bf3962c851e08eaa9df80">
  <xsd:schema xmlns:xsd="http://www.w3.org/2001/XMLSchema" xmlns:xs="http://www.w3.org/2001/XMLSchema" xmlns:p="http://schemas.microsoft.com/office/2006/metadata/properties" xmlns:ns2="eabf6a06-55a6-4b19-8426-4bedff7e76f3" targetNamespace="http://schemas.microsoft.com/office/2006/metadata/properties" ma:root="true" ma:fieldsID="8bfc908d45c0840691eac5812cc85001" ns2:_="">
    <xsd:import namespace="eabf6a06-55a6-4b19-8426-4bedff7e76f3"/>
    <xsd:element name="properties">
      <xsd:complexType>
        <xsd:sequence>
          <xsd:element name="documentManagement">
            <xsd:complexType>
              <xsd:all>
                <xsd:element ref="ns2:Meeting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f6a06-55a6-4b19-8426-4bedff7e76f3" elementFormDefault="qualified">
    <xsd:import namespace="http://schemas.microsoft.com/office/2006/documentManagement/types"/>
    <xsd:import namespace="http://schemas.microsoft.com/office/infopath/2007/PartnerControls"/>
    <xsd:element name="Meeting_x0020_Date" ma:index="8" ma:displayName="Meeting Date" ma:default="[today]"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eting_x0020_Date xmlns="eabf6a06-55a6-4b19-8426-4bedff7e76f3">2019-02-26T05:00:00+00:00</Meeting_x0020_Date>
  </documentManagement>
</p:properties>
</file>

<file path=customXml/itemProps1.xml><?xml version="1.0" encoding="utf-8"?>
<ds:datastoreItem xmlns:ds="http://schemas.openxmlformats.org/officeDocument/2006/customXml" ds:itemID="{B12BE812-BCAB-4AE9-A524-99B953AD95D8}">
  <ds:schemaRefs>
    <ds:schemaRef ds:uri="http://schemas.openxmlformats.org/officeDocument/2006/bibliography"/>
  </ds:schemaRefs>
</ds:datastoreItem>
</file>

<file path=customXml/itemProps2.xml><?xml version="1.0" encoding="utf-8"?>
<ds:datastoreItem xmlns:ds="http://schemas.openxmlformats.org/officeDocument/2006/customXml" ds:itemID="{42D505B9-CE81-40DB-9E4D-3046572F29CE}"/>
</file>

<file path=customXml/itemProps3.xml><?xml version="1.0" encoding="utf-8"?>
<ds:datastoreItem xmlns:ds="http://schemas.openxmlformats.org/officeDocument/2006/customXml" ds:itemID="{6499BB63-7A7C-4CB6-9652-F5D9A1FEE74C}"/>
</file>

<file path=customXml/itemProps4.xml><?xml version="1.0" encoding="utf-8"?>
<ds:datastoreItem xmlns:ds="http://schemas.openxmlformats.org/officeDocument/2006/customXml" ds:itemID="{038815DA-3DF3-4379-A2D0-A2EE50BA5A04}"/>
</file>

<file path=docProps/app.xml><?xml version="1.0" encoding="utf-8"?>
<Properties xmlns="http://schemas.openxmlformats.org/officeDocument/2006/extended-properties" xmlns:vt="http://schemas.openxmlformats.org/officeDocument/2006/docPropsVTypes">
  <Template>Normal.dotm</Template>
  <TotalTime>0</TotalTime>
  <Pages>5</Pages>
  <Words>1548</Words>
  <Characters>8828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Grant Thornton LLP</Company>
  <LinksUpToDate>false</LinksUpToDate>
  <CharactersWithSpaces>10356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Higginbotham, Sumner</dc:creator>
  <cp:keywords/>
  <dc:description/>
  <cp:lastModifiedBy>CurtisMR</cp:lastModifiedBy>
  <cp:revision>2</cp:revision>
  <dcterms:created xsi:type="dcterms:W3CDTF">2019-02-14T14:55:00Z</dcterms:created>
  <dcterms:modified xsi:type="dcterms:W3CDTF">2019-02-14T14:55:00Z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0x010100D9A08A9FCA28CC44BD8AC3EA2F2FFBC6</vt:lpwstr>
  </property>
</Properties>
</file>